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Conflicts of Interest Management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WM-CTRL-04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WM-CTRL-04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Conflicts of Interest Management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H. Lindqvist, Head of Conflicts &amp; Ethics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8,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H. Lindqvist, Head of Conflicts &amp; Ethics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WM-CTRL-04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opened by confirming the scope of the Conflicts of Interest Management control as documented in the Q2 2026 RCSA refresh. H. Lindqvist, Head of Conflicts &amp; Ethics confirmed their ownership and team support.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Personal Account Dealing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H. Lindqvist described PA dealing controls — staff pre-clear personal trades, restricted lists enforced, holding periods applied. Pre-clearance compliance 96% (amber-adjacent). The gap is occasional late notification of executed trades. Monitoring is partly manual — automation enhancement planned to auto-match staff trades against broker feeds. ACT-WM04-1 raised.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Proprietary Product Conflicts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Recommending in-house funds/products creates inherent conflict (firm earns more). H. Lindqvist confirmed enhanced scrutiny — proprietary recommendations require documented justification that the product is suitable and competitive vs alternatives. QA found documentation sometimes thin. Consumer Duty fair value lens applied. Documentation standards being strengthened.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Gifts &amp; Entertainment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Gifts and entertainment registered against thresholds; anything above limits requires approval or refusal. H. Lindqvist reported register completeness 94% — the gap is minor under-threshold items not always logged. Culture of registration strong for material items. Annual attestation by all staff.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Inducements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Post-MiFID II, monetary inducements largely banned for portfolio management and independent advice; minor non-monetary benefits permitted within rules. H. Lindqvist confirmed inducement controls robust — research unbundling implemented, acceptable minor non-monetary benefits defined. No inducement breaches in Q1.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Cross-Business Conflicts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Wealth sits alongside other group businesses (investment banking, lending) creating potential cross-business conflicts (e.g., advising a client to invest in a deal the bank is underwriting). Information barriers and conflict clearance manage these. H. Lindqvist cited the conflicts committee reviewing cross-business situations — functioning well.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Comprehensive conflicts framework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 dealing + proprietary docs the refinement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ACT-WM04-1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Register good; proprietary conflict docs thin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Standards uplift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Information Barriers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Barriers and cross-business controls robust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framework; PA automation + proprietary docs focus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ACT-WM04-1: Automate personal account dealing monitoring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H. Lindqvist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ACT-WM04-2: Strengthen proprietary product conflict documentation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Conflicts &amp; Ethics / Q2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ACT-WM04-3: Annual conflicts inventory review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H. Lindqvist / Q4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8"/>
              <w:left w:val="single" w:color="0B7A75" w:sz="8"/>
              <w:bottom w:val="single" w:color="0B7A75" w:sz="8"/>
              <w:right w:val="single" w:color="0B7A75" w:sz="8"/>
            </w:tcBorders>
            <w:shd w:fill="E0F5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concluded. Control owner expert in conflicts management. Recommended residual risk rating: ADEQUATE. Strong conflicts framework. PA dealing automation and proprietary documentation the focus. No P1 actions.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WM-CTRL-04 · Conflicts of Interest Management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2026-05-25T14:06:39.267Z</dcterms:created>
  <dcterms:modified xsi:type="dcterms:W3CDTF">2026-05-25T14:06:39.267Z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