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12"/>
              <w:left w:val="single" w:color="0F2240" w:sz="24"/>
              <w:bottom w:val="single" w:color="0B7A75" w:sz="12"/>
              <w:right w:val="single" w:color="0B7A75" w:sz="4"/>
            </w:tcBorders>
            <w:shd w:fill="0F2240" w:val="clear"/>
            <w:tcMar>
              <w:top w:type="dxa" w:w="360"/>
              <w:left w:type="dxa" w:w="400"/>
              <w:bottom w:type="dxa" w:w="360"/>
              <w:right w:type="dxa" w:w="400"/>
            </w:tcMar>
          </w:tcPr>
          <w:p>
            <w:pPr>
              <w:spacing w:after="120"/>
            </w:pPr>
            <w:r>
              <w:rPr>
                <w:rFonts w:ascii="Calibri" w:cs="Calibri" w:eastAsia="Calibri" w:hAnsi="Calibri"/>
                <w:b/>
                <w:bCs/>
                <w:caps/>
                <w:color w:val="94BAF7"/>
                <w:sz w:val="18"/>
                <w:szCs w:val="18"/>
              </w:rPr>
              <w:t xml:space="preserve">CONTROL OWNER INTERVIEW</w:t>
            </w:r>
          </w:p>
          <w:p>
            <w:pPr>
              <w:spacing w:after="120"/>
            </w:pPr>
            <w:r>
              <w:rPr>
                <w:rFonts w:ascii="Calibri" w:cs="Calibri" w:eastAsia="Calibri" w:hAnsi="Calibri"/>
                <w:b/>
                <w:bCs/>
                <w:color w:val="FFFFFF"/>
                <w:sz w:val="36"/>
                <w:szCs w:val="36"/>
              </w:rPr>
              <w:t xml:space="preserve">Client Money &amp; Custody Asset Protection (CASS)</w:t>
            </w:r>
          </w:p>
          <w:p>
            <w:pPr>
              <w:spacing w:after="120"/>
            </w:pPr>
            <w:r>
              <w:rPr>
                <w:rFonts w:ascii="Calibri" w:cs="Calibri" w:eastAsia="Calibri" w:hAnsi="Calibri"/>
                <w:color w:val="94BAF7"/>
                <w:sz w:val="22"/>
                <w:szCs w:val="22"/>
              </w:rPr>
              <w:t xml:space="preserve">Wealth &amp; Private Banking  |  WM-CTRL-05</w:t>
            </w:r>
          </w:p>
        </w:tc>
      </w:tr>
    </w:tbl>
    <w:p>
      <w:pPr>
        <w:spacing w:after="1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WM-CTRL-05</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Client Money &amp; Custody Asset Protection (CASS)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Business Division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Wealth &amp; Private Banking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Document Type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Control Owner Interview</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Prepared By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D. Fitzgerald, Head of CASS Oversight</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Review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15, 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Classification</w:t>
            </w:r>
          </w:p>
        </w:tc>
        <w:tc>
          <w:tcPr>
            <w:tcW w:type="dxa" w:w="6760"/>
            <w:tcBorders>
              <w:top w:val="single" w:color="CBD5E1" w:sz="1"/>
              <w:left w:val="single" w:color="CBD5E1" w:sz="1"/>
              <w:bottom w:val="single" w:color="CBD5E1" w:sz="1"/>
              <w:right w:val="single" w:color="CBD5E1" w:sz="1"/>
            </w:tcBorders>
            <w:shd w:fill="EBF1FC" w:val="clear"/>
            <w:tcMar>
              <w:top w:type="dxa" w:w="80"/>
              <w:left w:type="dxa" w:w="140"/>
              <w:bottom w:type="dxa" w:w="80"/>
              <w:right w:type="dxa" w:w="140"/>
            </w:tcMar>
          </w:tcPr>
          <w:p>
            <w:pPr>
              <w:spacing w:after="120"/>
            </w:pPr>
            <w:r>
              <w:rPr>
                <w:rFonts w:ascii="Calibri" w:cs="Calibri" w:eastAsia="Calibri" w:hAnsi="Calibri"/>
                <w:b/>
                <w:bCs/>
                <w:color w:val="1E4FA8"/>
                <w:sz w:val="20"/>
                <w:szCs w:val="20"/>
              </w:rPr>
              <w:t xml:space="preserve">Strong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GRC 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RCSA-2026-Q2 | ServiceNow / MetricStream</w:t>
            </w:r>
          </w:p>
        </w:tc>
      </w:tr>
    </w:tbl>
    <w:p>
      <w:pPr>
        <w:spacing w:after="100"/>
      </w:pPr>
      <w:r>
        <w:rPr>
          <w:rFonts w:ascii="Calibri" w:cs="Calibri" w:eastAsia="Calibri" w:hAnsi="Calibri"/>
        </w:rPr>
        <w:t xml:space="preserve"/>
      </w:r>
    </w:p>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Call Details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14, 2026 · per RCSA-2026-Q2 schedule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Format</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Microsoft Teams — recorded with consent</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Interviewer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S. Chen, Senior Risk Analyst (2nd Line)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Interviewee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D. Fitzgerald, Head of CASS Oversight (1st Line)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RCSA-2026-Q2 / WM-CTRL-05</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Opening — Control Context</w:t>
            </w:r>
          </w:p>
        </w:tc>
      </w:tr>
    </w:tbl>
    <w:p>
      <w:pPr>
        <w:spacing w:after="120"/>
      </w:pPr>
      <w:r>
        <w:rPr>
          <w:rFonts w:ascii="Calibri" w:cs="Calibri" w:eastAsia="Calibri" w:hAnsi="Calibri"/>
          <w:sz w:val="21"/>
          <w:szCs w:val="21"/>
        </w:rPr>
        <w:t xml:space="preserve">S. Chen opened by confirming the scope of the Client Money &amp; Custody Asset Protection (CASS) control as documented in the Q2 2026 RCSA refresh. D. Fitzgerald, Head of CASS Oversight confirmed their ownership and team support.</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Discussion — Key Topics</w:t>
            </w:r>
          </w:p>
        </w:tc>
      </w:tr>
    </w:tbl>
    <w:p>
      <w:pPr>
        <w:spacing w:after="120"/>
      </w:pPr>
      <w:r>
        <w:rPr>
          <w:rFonts w:ascii="Calibri" w:cs="Calibri" w:eastAsia="Calibri" w:hAnsi="Calibri"/>
          <w:b/>
          <w:bCs/>
          <w:color w:val="0F2240"/>
          <w:sz w:val="21"/>
          <w:szCs w:val="21"/>
        </w:rPr>
        <w:t xml:space="preserve">1. Daily Reconciliation Discipline</w:t>
      </w:r>
    </w:p>
    <w:p>
      <w:pPr>
        <w:spacing w:after="120"/>
      </w:pPr>
      <w:r>
        <w:rPr>
          <w:rFonts w:ascii="Calibri" w:cs="Calibri" w:eastAsia="Calibri" w:hAnsi="Calibri"/>
          <w:sz w:val="21"/>
          <w:szCs w:val="21"/>
        </w:rPr>
        <w:t xml:space="preserve">D. Fitzgerald reported daily internal and external reconciliations completing cleanly — breaks rare and resolved same-day. CASS reconciliation is unforgiving: any break must be investigated and resolved. The discipline is embedded — Q1 had only 3 minor breaks, all resolved within 1 day. Strong operational control.</w:t>
      </w:r>
    </w:p>
    <w:p>
      <w:pPr>
        <w:spacing w:after="10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2. Client Money Calculation</w:t>
      </w:r>
    </w:p>
    <w:p>
      <w:pPr>
        <w:spacing w:after="120"/>
      </w:pPr>
      <w:r>
        <w:rPr>
          <w:rFonts w:ascii="Calibri" w:cs="Calibri" w:eastAsia="Calibri" w:hAnsi="Calibri"/>
          <w:sz w:val="21"/>
          <w:szCs w:val="21"/>
        </w:rPr>
        <w:t xml:space="preserve">Daily client money requirement (what's owed to clients) vs resource (what's segregated) calculation performed and any shortfall topped up / excess withdrawn same day. D. Fitzgerald confirmed calculations accurate, no shortfalls in Q1. This daily true-up is the heart of CASS 7 compliance.</w:t>
      </w:r>
    </w:p>
    <w:p>
      <w:pPr>
        <w:spacing w:after="10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3. CASS Resolution Pack</w:t>
      </w:r>
    </w:p>
    <w:p>
      <w:pPr>
        <w:spacing w:after="120"/>
      </w:pPr>
      <w:r>
        <w:rPr>
          <w:rFonts w:ascii="Calibri" w:cs="Calibri" w:eastAsia="Calibri" w:hAnsi="Calibri"/>
          <w:sz w:val="21"/>
          <w:szCs w:val="21"/>
        </w:rPr>
        <w:t xml:space="preserve">The CASS RP enables prompt return of client assets if the firm fails. D. Fitzgerald confirmed RP current, tested, includes all required documents (client lists, account details, reconciliation procedures, key contacts). RP retrieval tested — assets identifiable and returnable. A key resolution/wind-down control.</w:t>
      </w:r>
    </w:p>
    <w:p>
      <w:pPr>
        <w:spacing w:after="10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4. Acknowledgement Letters</w:t>
      </w:r>
    </w:p>
    <w:p>
      <w:pPr>
        <w:spacing w:after="120"/>
      </w:pPr>
      <w:r>
        <w:rPr>
          <w:rFonts w:ascii="Calibri" w:cs="Calibri" w:eastAsia="Calibri" w:hAnsi="Calibri"/>
          <w:sz w:val="21"/>
          <w:szCs w:val="21"/>
        </w:rPr>
        <w:t xml:space="preserve">Client bank and custody accounts require acknowledgement letters confirming trust status (banks can't exercise set-off against client money). D. Fitzgerald confirmed 100% acknowledgement letters current — a common CASS failing elsewhere that this firm manages tightly. New accounts not used until acknowledgement received.</w:t>
      </w:r>
    </w:p>
    <w:p>
      <w:pPr>
        <w:spacing w:after="10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5. CASS Audit</w:t>
      </w:r>
    </w:p>
    <w:p>
      <w:pPr>
        <w:spacing w:after="120"/>
      </w:pPr>
      <w:r>
        <w:rPr>
          <w:rFonts w:ascii="Calibri" w:cs="Calibri" w:eastAsia="Calibri" w:hAnsi="Calibri"/>
          <w:sz w:val="21"/>
          <w:szCs w:val="21"/>
        </w:rPr>
        <w:t xml:space="preserve">Annual CASS audit by external auditor provides reasonable assurance opinion. D. Fitzgerald confirmed the most recent CASS audit (FY2025) was clean — no breaches of the reasonable assurance standard. Any audit findings tracked to closure. CASS audit is a critical independent check and the clean opinion reflects control strength.</w:t>
      </w:r>
    </w:p>
    <w:p>
      <w:pPr>
        <w:spacing w:after="100"/>
      </w:pPr>
      <w:r>
        <w:rPr>
          <w:rFonts w:ascii="Calibri" w:cs="Calibri" w:eastAsia="Calibri" w:hAnsi="Calibri"/>
        </w:rPr>
        <w:t xml:space="preserve"/>
      </w:r>
    </w:p>
    <w:p>
      <w:pPr>
        <w:spacing w:after="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Control Owner Self-Assessment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960"/>
        <w:gridCol w:w="2000"/>
      </w:tblGrid>
      <w:tr>
        <w:tc>
          <w:tcPr>
            <w:tcW w:type="dxa" w:w="19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Dimension</w:t>
            </w:r>
          </w:p>
        </w:tc>
        <w:tc>
          <w:tcPr>
            <w:tcW w:type="dxa" w:w="15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Owner Rating</w:t>
            </w:r>
          </w:p>
        </w:tc>
        <w:tc>
          <w:tcPr>
            <w:tcW w:type="dxa" w:w="396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Rationale</w:t>
            </w:r>
          </w:p>
        </w:tc>
        <w:tc>
          <w:tcPr>
            <w:tcW w:type="dxa" w:w="20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Notes</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Design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Strong</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CASS framework comprehensive, segregation robust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Operating Effectiveness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Strong</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Clean daily reconciliations, accurate calculations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Documentation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Strong</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RP current, acknowledgement letters complete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Resolution Readiness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Strong</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RP tested, assets returnable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Overall Self-Assessment</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Strong</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Reference-grade CASS control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Action Items from Interview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Action</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Owner / Due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ACT-WM05-1: Maintain clean CASS audit (FY2026 preparation)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D. Fitzgerald / Q4 2026</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ACT-WM05-2: Annual CASS Resolution Pack retrieval test</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CASS Oversight / Q3 2026</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ACT-WM05-3: CASS training refresh for operations staff</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D. Fitzgerald / Q2 2026</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803D" w:sz="8"/>
              <w:left w:val="single" w:color="15803D" w:sz="8"/>
              <w:bottom w:val="single" w:color="15803D" w:sz="8"/>
              <w:right w:val="single" w:color="15803D" w:sz="8"/>
            </w:tcBorders>
            <w:shd w:fill="DCFCE7" w:val="clear"/>
            <w:tcMar>
              <w:top w:type="dxa" w:w="160"/>
              <w:left w:type="dxa" w:w="200"/>
              <w:bottom w:type="dxa" w:w="160"/>
              <w:right w:type="dxa" w:w="200"/>
            </w:tcMar>
          </w:tcPr>
          <w:p>
            <w:pPr>
              <w:spacing w:after="120"/>
            </w:pPr>
            <w:r>
              <w:rPr>
                <w:rFonts w:ascii="Calibri" w:cs="Calibri" w:eastAsia="Calibri" w:hAnsi="Calibri"/>
                <w:color w:val="1E293B"/>
                <w:sz w:val="20"/>
                <w:szCs w:val="20"/>
              </w:rPr>
              <w:t xml:space="preserve">Interview concluded. Control owner highly expert in CASS. Recommended residual risk rating: STRONG. Reference-grade client asset protection. Clean CASS audit. No P1 actions.</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Calibri" w:cs="Calibri" w:eastAsia="Calibri" w:hAnsi="Calibri"/>
        <w:color w:val="64748B"/>
        <w:sz w:val="17"/>
        <w:szCs w:val="17"/>
      </w:rPr>
      <w:t xml:space="preserve">Confidential — For Internal Use Only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E4FA8" w:sz="6"/>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pPr>
          <w:r>
            <w:rPr>
              <w:rFonts w:ascii="Calibri" w:cs="Calibri" w:eastAsia="Calibri" w:hAnsi="Calibri"/>
              <w:b/>
              <w:bCs/>
              <w:color w:val="0F2240"/>
              <w:sz w:val="18"/>
              <w:szCs w:val="18"/>
            </w:rPr>
            <w:t xml:space="preserve">WM-CTRL-05 · Client Money &amp; Custody Asset Protection (CASS)  </w:t>
          </w:r>
          <w:r>
            <w:rPr>
              <w:rFonts w:ascii="Calibri" w:cs="Calibri" w:eastAsia="Calibri" w:hAnsi="Calibri"/>
              <w:color w:val="64748B"/>
              <w:sz w:val="18"/>
              <w:szCs w:val="18"/>
            </w:rPr>
            <w:t xml:space="preserve">| Control Owner Interview</w:t>
          </w:r>
        </w:p>
      </w:tc>
      <w:tc>
        <w:tcPr>
          <w:tcW w:type="dxa" w:w="28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jc w:val="right"/>
          </w:pPr>
          <w:r>
            <w:rPr>
              <w:rFonts w:ascii="Calibri" w:cs="Calibri" w:eastAsia="Calibri" w:hAnsi="Calibri"/>
              <w:color w:val="64748B"/>
              <w:sz w:val="16"/>
              <w:szCs w:val="16"/>
            </w:rPr>
            <w:t xml:space="preserve">Global Bank Group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2026-05-25T14:06:39.381Z</dcterms:created>
  <dcterms:modified xsi:type="dcterms:W3CDTF">2026-05-25T14:06:39.381Z</dcterms:modified>
</cp:coreProperties>
</file>

<file path=docProps/custom.xml><?xml version="1.0" encoding="utf-8"?>
<Properties xmlns="http://schemas.openxmlformats.org/officeDocument/2006/custom-properties" xmlns:vt="http://schemas.openxmlformats.org/officeDocument/2006/docPropsVTypes"/>
</file>