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Fees, Charges &amp; Cost Transparency</w:t>
            </w:r>
          </w:p>
          <w:p>
            <w:pPr>
              <w:spacing w:after="120"/>
            </w:pPr>
            <w:r>
              <w:rPr>
                <w:rFonts w:ascii="Calibri" w:cs="Calibri" w:eastAsia="Calibri" w:hAnsi="Calibri"/>
                <w:color w:val="94BAF7"/>
                <w:sz w:val="22"/>
                <w:szCs w:val="22"/>
              </w:rPr>
              <w:t xml:space="preserve">Wealth &amp; Private Banking  |  WM-CTRL-06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WM-CTRL-06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Fees, Charges &amp; Cost Transparency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Wealth &amp; Private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Nakamura, Head of Pricing &amp; Billing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client fees and charges are calculated accurately, disclosed transparently, and represent fair value, in line with MiFID II costs and charges disclosure and FCA Consumer Duty price and value requirements.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MiFID II — costs and charges disclosure (ex-ante and ex-post)</w:t>
      </w:r>
    </w:p>
    <w:p>
      <w:pPr>
        <w:pStyle w:val="ListParagraph"/>
        <w:numPr>
          <w:ilvl w:val="0"/>
          <w:numId w:val="2"/>
        </w:numPr>
        <w:spacing w:after="80"/>
      </w:pPr>
      <w:r>
        <w:rPr>
          <w:rFonts w:ascii="Calibri" w:cs="Calibri" w:eastAsia="Calibri" w:hAnsi="Calibri"/>
          <w:color w:val="1E293B"/>
          <w:sz w:val="21"/>
          <w:szCs w:val="21"/>
        </w:rPr>
        <w:t xml:space="preserve">FCA COBS 6 — disclosure of charges</w:t>
      </w:r>
    </w:p>
    <w:p>
      <w:pPr>
        <w:pStyle w:val="ListParagraph"/>
        <w:numPr>
          <w:ilvl w:val="0"/>
          <w:numId w:val="2"/>
        </w:numPr>
        <w:spacing w:after="80"/>
      </w:pPr>
      <w:r>
        <w:rPr>
          <w:rFonts w:ascii="Calibri" w:cs="Calibri" w:eastAsia="Calibri" w:hAnsi="Calibri"/>
          <w:color w:val="1E293B"/>
          <w:sz w:val="21"/>
          <w:szCs w:val="21"/>
        </w:rPr>
        <w:t xml:space="preserve">FCA Consumer Duty — price and value outcome</w:t>
      </w:r>
    </w:p>
    <w:p>
      <w:pPr>
        <w:pStyle w:val="ListParagraph"/>
        <w:numPr>
          <w:ilvl w:val="0"/>
          <w:numId w:val="2"/>
        </w:numPr>
        <w:spacing w:after="80"/>
      </w:pPr>
      <w:r>
        <w:rPr>
          <w:rFonts w:ascii="Calibri" w:cs="Calibri" w:eastAsia="Calibri" w:hAnsi="Calibri"/>
          <w:color w:val="1E293B"/>
          <w:sz w:val="21"/>
          <w:szCs w:val="21"/>
        </w:rPr>
        <w:t xml:space="preserve">FCA PROD — fair value assessment</w:t>
      </w:r>
    </w:p>
    <w:p>
      <w:pPr>
        <w:pStyle w:val="ListParagraph"/>
        <w:numPr>
          <w:ilvl w:val="0"/>
          <w:numId w:val="2"/>
        </w:numPr>
        <w:spacing w:after="80"/>
      </w:pPr>
      <w:r>
        <w:rPr>
          <w:rFonts w:ascii="Calibri" w:cs="Calibri" w:eastAsia="Calibri" w:hAnsi="Calibri"/>
          <w:color w:val="1E293B"/>
          <w:sz w:val="21"/>
          <w:szCs w:val="21"/>
        </w:rPr>
        <w:t xml:space="preserve">Consumer Duty fair value framework</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Client fees (management fees, transaction charges, custody fees, performance fees) calculated per agreed schedules, disclosed ex-ante (before) and ex-post (annual statement), and assessed for fair value. Fee calculation accuracy verified. Cost disclosures meet MiFID II aggregated cost requirements. Fair value assessments performed under Consumer Duty.</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Fee calculation — management, transaction, custody, performance fees per schedule</w:t>
      </w:r>
    </w:p>
    <w:p>
      <w:pPr>
        <w:pStyle w:val="ListParagraph"/>
        <w:numPr>
          <w:ilvl w:val="0"/>
          <w:numId w:val="2"/>
        </w:numPr>
        <w:spacing w:after="80"/>
      </w:pPr>
      <w:r>
        <w:rPr>
          <w:rFonts w:ascii="Calibri" w:cs="Calibri" w:eastAsia="Calibri" w:hAnsi="Calibri"/>
          <w:color w:val="1E293B"/>
          <w:sz w:val="21"/>
          <w:szCs w:val="21"/>
        </w:rPr>
        <w:t xml:space="preserve">Ex-ante disclosure — costs disclosed before service/transaction</w:t>
      </w:r>
    </w:p>
    <w:p>
      <w:pPr>
        <w:pStyle w:val="ListParagraph"/>
        <w:numPr>
          <w:ilvl w:val="0"/>
          <w:numId w:val="2"/>
        </w:numPr>
        <w:spacing w:after="80"/>
      </w:pPr>
      <w:r>
        <w:rPr>
          <w:rFonts w:ascii="Calibri" w:cs="Calibri" w:eastAsia="Calibri" w:hAnsi="Calibri"/>
          <w:color w:val="1E293B"/>
          <w:sz w:val="21"/>
          <w:szCs w:val="21"/>
        </w:rPr>
        <w:t xml:space="preserve">Ex-post disclosure — annual aggregated costs and charges statement</w:t>
      </w:r>
    </w:p>
    <w:p>
      <w:pPr>
        <w:pStyle w:val="ListParagraph"/>
        <w:numPr>
          <w:ilvl w:val="0"/>
          <w:numId w:val="2"/>
        </w:numPr>
        <w:spacing w:after="80"/>
      </w:pPr>
      <w:r>
        <w:rPr>
          <w:rFonts w:ascii="Calibri" w:cs="Calibri" w:eastAsia="Calibri" w:hAnsi="Calibri"/>
          <w:color w:val="1E293B"/>
          <w:sz w:val="21"/>
          <w:szCs w:val="21"/>
        </w:rPr>
        <w:t xml:space="preserve">Fair value assessment — Consumer Duty price/value evaluation</w:t>
      </w:r>
    </w:p>
    <w:p>
      <w:pPr>
        <w:pStyle w:val="ListParagraph"/>
        <w:numPr>
          <w:ilvl w:val="0"/>
          <w:numId w:val="2"/>
        </w:numPr>
        <w:spacing w:after="80"/>
      </w:pPr>
      <w:r>
        <w:rPr>
          <w:rFonts w:ascii="Calibri" w:cs="Calibri" w:eastAsia="Calibri" w:hAnsi="Calibri"/>
          <w:color w:val="1E293B"/>
          <w:sz w:val="21"/>
          <w:szCs w:val="21"/>
        </w:rPr>
        <w:t xml:space="preserve">Fee accuracy verification — independent check of fee runs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accurate fee calculation and disclosure with refinement in fair value assessment depth and ex-post disclosure clarity for clients.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Fee calculation accuracy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&lt;99% | Red: &lt;97%</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Ex-ante cost disclosure completeness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Ex-post annual statement timeliness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&lt;97% | Red: &lt;93%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Fair value assessments completed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of products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Fee-related complaints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&gt;15/qtr | Red: &gt;30</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Fee calculation per billing cycle; ex-ante at each service point; ex-post annually; fair value assessment annually; quarterly QA.</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Pricing &amp; Billing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Fee calculation, disclosure, verification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Governance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Fair value assessment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Disclosure compliance, Consumer Duty oversight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Client Management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Fee communication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fees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Accurate fee calculation (99.4%) and MiFID II disclosure. Refinement: Consumer Duty fair value assessment depth and ex-post statement clarity.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WM-CTRL-06 · Fees, Charges &amp; Cost Transparency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2026-05-25T14:06:39.441Z</dcterms:created>
  <dcterms:modified xsi:type="dcterms:W3CDTF">2026-05-25T14:06:39.441Z</dcterms:modified>
</cp:coreProperties>
</file>

<file path=docProps/custom.xml><?xml version="1.0" encoding="utf-8"?>
<Properties xmlns="http://schemas.openxmlformats.org/officeDocument/2006/custom-properties" xmlns:vt="http://schemas.openxmlformats.org/officeDocument/2006/docPropsVTypes"/>
</file>