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12"/>
              <w:left w:val="single" w:color="0F2240" w:sz="24"/>
              <w:bottom w:val="single" w:color="1E4FA8" w:sz="12"/>
              <w:right w:val="single" w:color="1E4FA8" w:sz="4"/>
            </w:tcBorders>
            <w:shd w:fill="0F2240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aps/>
                <w:color w:val="94BAF7"/>
                <w:sz w:val="18"/>
                <w:szCs w:val="18"/>
              </w:rPr>
              <w:t xml:space="preserve">CONTROL SPECIFICATION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Fees, Charges &amp; Cost Transparency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94BAF7"/>
                <w:sz w:val="22"/>
                <w:szCs w:val="22"/>
              </w:rPr>
              <w:t xml:space="preserve">Wealth &amp; Private Banking  |  WM-CTRL-06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WM-CTRL-06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Fees, Charges &amp; Cost Transparency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Business Division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Wealth &amp; Private Banking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Control Specification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S. Nakamura, Head of Pricing &amp; Billing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15, 2026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1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Adequate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GRC 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RCSA-2026-Q2 | ServiceNow / MetricStream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1.  Technical Architecture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The Fees, Charges &amp; Cost Transparency control is implemented via the following technical stack: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Platform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Pricing &amp; billing engine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Fee calculation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Automated fee runs per client schedule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Disclosure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Ex-ante calculator + ex-post statement generation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Fair value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Consumer Duty fair value assessment framework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Verification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Independent fee run verification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Audit retention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6 years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2.  Control Activities &amp; Evidence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The following activities are performed and evidence retained for each operation of the control: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Activity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Evidence Captured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Control trigger / assessment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Timestamped record in primary system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Monitoring / verification outcome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Outcome values + flags captured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Exception / breach handling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Case opened, owner assigned, audit logged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Escalation (criteria met)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Routed per matrix, notification logged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Resolution / sign-off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Final outcome + supporting evidence retained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Reporting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KRI / MI reports generated and distributed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3.  Exception Handling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Standard exception — documented escalation pathway with SLA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System unavailability — fail-safe / manual fallback per BCP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Data quality issue — referred to data owner; control paused if material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Regulatory threshold breach — immediate escalation to MLRO / Head per 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Client harm indicator — Consumer Duty foreseeable harm assessment triggered</w:t>
      </w:r>
    </w:p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4.  Performance Standards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Standard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Coverage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Per control design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Timeliness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Per control SLA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Audit trail completeness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100% of cases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Documentation currency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Annual review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Training completion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100% in-scope staff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5.  Dependencies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This control depends on upstream client and market data feeds, wealth platform availability, third-party data (screening, ESG, pricing), and trained advisory and operations staff. Material dependencies are subject to separate IT and operational risk monitoring.</w:t>
      </w:r>
    </w:p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80"/>
    </w:pPr>
    <w:r>
      <w:rPr>
        <w:rFonts w:ascii="Calibri" w:cs="Calibri" w:eastAsia="Calibri" w:hAnsi="Calibri"/>
        <w:color w:val="64748B"/>
        <w:sz w:val="17"/>
        <w:szCs w:val="17"/>
      </w:rPr>
      <w:t xml:space="preserve">Confidential — For Internal Use Only   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1E4FA8" w:sz="6"/>
        <w:right w:val="none" w:color="FFFFFF" w:sz="0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</w:pPr>
          <w:r>
            <w:rPr>
              <w:rFonts w:ascii="Calibri" w:cs="Calibri" w:eastAsia="Calibri" w:hAnsi="Calibri"/>
              <w:b/>
              <w:bCs/>
              <w:color w:val="0F2240"/>
              <w:sz w:val="18"/>
              <w:szCs w:val="18"/>
            </w:rPr>
            <w:t xml:space="preserve">WM-CTRL-06 · Fees, Charges &amp; Cost Transparency  </w:t>
          </w:r>
          <w:r>
            <w:rPr>
              <w:rFonts w:ascii="Calibri" w:cs="Calibri" w:eastAsia="Calibri" w:hAnsi="Calibri"/>
              <w:color w:val="64748B"/>
              <w:sz w:val="18"/>
              <w:szCs w:val="18"/>
            </w:rPr>
            <w:t xml:space="preserve">| Control Specification</w:t>
          </w:r>
        </w:p>
      </w:tc>
      <w:tc>
        <w:tcPr>
          <w:tcW w:type="dxa" w:w="2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Global Bank Group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2026-05-25T14:06:39.461Z</dcterms:created>
  <dcterms:modified xsi:type="dcterms:W3CDTF">2026-05-25T14:06:39.461Z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