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w:t>
            </w:r>
          </w:p>
          <w:p>
            <w:pPr>
              <w:spacing w:after="120"/>
            </w:pPr>
            <w:r>
              <w:rPr>
                <w:rFonts w:ascii="Calibri" w:cs="Calibri" w:eastAsia="Calibri" w:hAnsi="Calibri"/>
                <w:b/>
                <w:bCs/>
                <w:color w:val="FFFFFF"/>
                <w:sz w:val="36"/>
                <w:szCs w:val="36"/>
              </w:rPr>
              <w:t xml:space="preserve">Large Exposure &amp; Single Counterparty Limit Monitoring</w:t>
            </w:r>
          </w:p>
          <w:p>
            <w:pPr>
              <w:spacing w:after="120"/>
            </w:pPr>
            <w:r>
              <w:rPr>
                <w:rFonts w:ascii="Calibri" w:cs="Calibri" w:eastAsia="Calibri" w:hAnsi="Calibri"/>
                <w:color w:val="94BAF7"/>
                <w:sz w:val="22"/>
                <w:szCs w:val="22"/>
              </w:rPr>
              <w:t xml:space="preserve">Corporate &amp; Commercial Lending  |  CL-CTRL-01</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CL-CTRL-01</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Large Exposure &amp; Single Counterparty Limit Monitoring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Corporate &amp; Commercial Lending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 Voss, Head of Credit Portfolio Management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Call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7, 2026 · per RCSA-2026-Q2 schedule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Format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recorded with consent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Chen, Senior Risk Analyst (2nd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 Voss, Head of Credit Portfolio Management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CL-CTRL-01</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Opening — Control Context</w:t>
            </w:r>
          </w:p>
        </w:tc>
      </w:tr>
    </w:tbl>
    <w:p>
      <w:pPr>
        <w:spacing w:after="120"/>
      </w:pPr>
      <w:r>
        <w:rPr>
          <w:rFonts w:ascii="Calibri" w:cs="Calibri" w:eastAsia="Calibri" w:hAnsi="Calibri"/>
          <w:sz w:val="21"/>
          <w:szCs w:val="21"/>
        </w:rPr>
        <w:t xml:space="preserve">S. Chen confirmed the scope of the Large Exposure &amp; Single Counterparty Limit Monitoring control as documented in the Q2 2026 RCSA refresh. R. Voss, Head of Credit Portfolio Management confirmed control ownership and described the supporting team and governance structure.</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Discussion — Key Topics</w:t>
            </w:r>
          </w:p>
        </w:tc>
      </w:tr>
    </w:tbl>
    <w:p>
      <w:pPr>
        <w:spacing w:after="120"/>
      </w:pPr>
      <w:r>
        <w:rPr>
          <w:rFonts w:ascii="Calibri" w:cs="Calibri" w:eastAsia="Calibri" w:hAnsi="Calibri"/>
          <w:b/>
          <w:bCs/>
          <w:color w:val="0F2240"/>
          <w:sz w:val="21"/>
          <w:szCs w:val="21"/>
        </w:rPr>
        <w:t xml:space="preserve">1. Connected-Client Identification Challenge</w:t>
      </w:r>
    </w:p>
    <w:p>
      <w:pPr>
        <w:spacing w:after="120"/>
      </w:pPr>
      <w:r>
        <w:rPr>
          <w:rFonts w:ascii="Calibri" w:cs="Calibri" w:eastAsia="Calibri" w:hAnsi="Calibri"/>
          <w:sz w:val="21"/>
          <w:szCs w:val="21"/>
        </w:rPr>
        <w:t xml:space="preserve">R. Voss explained the hardest part of the control is correctly grouping connected clients — economic interdependence is judgemental. Two large corporate groups underwent restructuring in Q1 2026 (one demerger, one acquisition) requiring re-assessment of grouping. Both reviews in progress; interim conservative grouping applied.</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2. Derivatives Exposure Measurement</w:t>
      </w:r>
    </w:p>
    <w:p>
      <w:pPr>
        <w:spacing w:after="120"/>
      </w:pPr>
      <w:r>
        <w:rPr>
          <w:rFonts w:ascii="Calibri" w:cs="Calibri" w:eastAsia="Calibri" w:hAnsi="Calibri"/>
          <w:sz w:val="21"/>
          <w:szCs w:val="21"/>
        </w:rPr>
        <w:t xml:space="preserve">Asked how derivative exposures feed the calculation. R. Voss confirmed potential future exposure (PFE) from Murex is included using the SA-CCR methodology. Recent enhancement integrated intraday derivative moves into the daily snapshot, improving accuracy for counterparties with large derivative books.</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3. No Breaches but Tight Headroom</w:t>
      </w:r>
    </w:p>
    <w:p>
      <w:pPr>
        <w:spacing w:after="120"/>
      </w:pPr>
      <w:r>
        <w:rPr>
          <w:rFonts w:ascii="Calibri" w:cs="Calibri" w:eastAsia="Calibri" w:hAnsi="Calibri"/>
          <w:sz w:val="21"/>
          <w:szCs w:val="21"/>
        </w:rPr>
        <w:t xml:space="preserve">No regulatory breaches in Q1, but one financial-institution counterparty reached 21.8% of Tier 1 (just below 22% red). R. Voss is managing this down through facility maturity and is in dialogue with the relationship team to avoid new exposure to that name.</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4. COREP Reconciliation Quality</w:t>
      </w:r>
    </w:p>
    <w:p>
      <w:pPr>
        <w:spacing w:after="120"/>
      </w:pPr>
      <w:r>
        <w:rPr>
          <w:rFonts w:ascii="Calibri" w:cs="Calibri" w:eastAsia="Calibri" w:hAnsi="Calibri"/>
          <w:sz w:val="21"/>
          <w:szCs w:val="21"/>
        </w:rPr>
        <w:t xml:space="preserve">Q4 2025 COREP return reconciled to the engine with a £3.2M variance (within £5M amber) attributed to timing of a guarantee booking. Investigated and explained. R. Voss confident in regulatory return integrity.</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5. Pre-Deal Check Integration</w:t>
      </w:r>
    </w:p>
    <w:p>
      <w:pPr>
        <w:spacing w:after="120"/>
      </w:pPr>
      <w:r>
        <w:rPr>
          <w:rFonts w:ascii="Calibri" w:cs="Calibri" w:eastAsia="Calibri" w:hAnsi="Calibri"/>
          <w:sz w:val="21"/>
          <w:szCs w:val="21"/>
        </w:rPr>
        <w:t xml:space="preserve">Every new facility &gt;£10M is tested against group headroom before credit approval. Integration with the loan origination workflow ensures the check cannot be bypassed. 100% completion in Q1 across 187 qualifying facilities.</w:t>
      </w:r>
    </w:p>
    <w:p>
      <w:pPr>
        <w:spacing w:after="100"/>
      </w:pPr>
      <w:r>
        <w:rPr>
          <w:rFonts w:ascii="Calibri" w:cs="Calibri" w:eastAsia="Calibri" w:hAnsi="Calibri"/>
        </w:rPr>
        <w:t xml:space="preserve"/>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Control Owner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60"/>
        <w:gridCol w:w="2000"/>
      </w:tblGrid>
      <w:tr>
        <w:tc>
          <w:tcPr>
            <w:tcW w:type="dxa" w:w="19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Rating</w:t>
            </w:r>
          </w:p>
        </w:tc>
        <w:tc>
          <w:tcPr>
            <w:tcW w:type="dxa" w:w="39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w:t>
            </w:r>
          </w:p>
        </w:tc>
        <w:tc>
          <w:tcPr>
            <w:tcW w:type="dxa" w:w="2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Notes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Comprehensive aggregation, regulatory + internal limits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Effectiveness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No breaches; connected-client reviews aging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Two refreshes due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Methodology and limit framework well-documented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Data Quality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Derivative integration improved; monitoring continues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 Self-Assessment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Effective control; connected-client currency a watch item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Action Items from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Action</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Owner / Due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ACT-CL01-1: Complete connected-client group reviews for the two restructured groups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 Voss / May 31,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ACT-CL01-2: Manage FI counterparty exposure below 20% Tier 1</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 Voss / Q2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ACT-CL01-3: Document SA-CCR derivative integration methodology refresh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CPM team / Jun 2026</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8"/>
              <w:left w:val="single" w:color="0B7A75" w:sz="8"/>
              <w:bottom w:val="single" w:color="0B7A75" w:sz="8"/>
              <w:right w:val="single" w:color="0B7A75"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Interview concluded efficiently. Control owner highly experienced in large exposures regulation. Recommended residual risk rating: ADEQUATE. No P1 actions. Connected-client review currency is the key watch item.</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CL-CTRL-01 · Large Exposure &amp; Single Counterparty Limit Monitoring  </w:t>
          </w:r>
          <w:r>
            <w:rPr>
              <w:rFonts w:ascii="Calibri" w:cs="Calibri" w:eastAsia="Calibri" w:hAnsi="Calibri"/>
              <w:color w:val="64748B"/>
              <w:sz w:val="18"/>
              <w:szCs w:val="18"/>
            </w:rPr>
            <w:t xml:space="preserve">| Control Owner Interview</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2026-05-25T13:19:01.183Z</dcterms:created>
  <dcterms:modified xsi:type="dcterms:W3CDTF">2026-05-25T13:19:01.183Z</dcterms:modified>
</cp:coreProperties>
</file>

<file path=docProps/custom.xml><?xml version="1.0" encoding="utf-8"?>
<Properties xmlns="http://schemas.openxmlformats.org/officeDocument/2006/custom-properties" xmlns:vt="http://schemas.openxmlformats.org/officeDocument/2006/docPropsVTypes"/>
</file>