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0F2240" w:sz="24"/>
              <w:bottom w:val="single" w:color="B91C1C" w:sz="12"/>
              <w:right w:val="single" w:color="B91C1C"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6"/>
                <w:szCs w:val="36"/>
              </w:rPr>
              <w:t xml:space="preserve">Loan Covenant Monitoring &amp; Breach Management</w:t>
            </w:r>
          </w:p>
          <w:p>
            <w:pPr>
              <w:spacing w:after="120"/>
            </w:pPr>
            <w:r>
              <w:rPr>
                <w:rFonts w:ascii="Calibri" w:cs="Calibri" w:eastAsia="Calibri" w:hAnsi="Calibri"/>
                <w:color w:val="94BAF7"/>
                <w:sz w:val="22"/>
                <w:szCs w:val="22"/>
              </w:rPr>
              <w:t xml:space="preserve">Corporate &amp; Commercial Lending  |  CL-CTRL-02</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CL-CTRL-02</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Loan Covenant Monitoring &amp; Breach Management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 Diallo, Head of Portfolio Monitoring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Weak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Track all financial and non-financial covenants across the corporate loan portfolio, detect breaches promptly, and ensure appropriate waiver, reservation-of-rights, or remediation action is taken to protect the bank's credit position.</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PRA SS31/15 — ICAAP and credit risk management expectations</w:t>
      </w:r>
    </w:p>
    <w:p>
      <w:pPr>
        <w:pStyle w:val="ListParagraph"/>
        <w:numPr>
          <w:ilvl w:val="0"/>
          <w:numId w:val="2"/>
        </w:numPr>
        <w:spacing w:after="80"/>
      </w:pPr>
      <w:r>
        <w:rPr>
          <w:rFonts w:ascii="Calibri" w:cs="Calibri" w:eastAsia="Calibri" w:hAnsi="Calibri"/>
          <w:color w:val="1E293B"/>
          <w:sz w:val="21"/>
          <w:szCs w:val="21"/>
        </w:rPr>
        <w:t xml:space="preserve">IFRS 9 — Significant increase in credit risk (covenant breach as SICR trigger)</w:t>
      </w:r>
    </w:p>
    <w:p>
      <w:pPr>
        <w:pStyle w:val="ListParagraph"/>
        <w:numPr>
          <w:ilvl w:val="0"/>
          <w:numId w:val="2"/>
        </w:numPr>
        <w:spacing w:after="80"/>
      </w:pPr>
      <w:r>
        <w:rPr>
          <w:rFonts w:ascii="Calibri" w:cs="Calibri" w:eastAsia="Calibri" w:hAnsi="Calibri"/>
          <w:color w:val="1E293B"/>
          <w:sz w:val="21"/>
          <w:szCs w:val="21"/>
        </w:rPr>
        <w:t xml:space="preserve">Basel III — Credit risk management standards</w:t>
      </w:r>
    </w:p>
    <w:p>
      <w:pPr>
        <w:pStyle w:val="ListParagraph"/>
        <w:numPr>
          <w:ilvl w:val="0"/>
          <w:numId w:val="2"/>
        </w:numPr>
        <w:spacing w:after="80"/>
      </w:pPr>
      <w:r>
        <w:rPr>
          <w:rFonts w:ascii="Calibri" w:cs="Calibri" w:eastAsia="Calibri" w:hAnsi="Calibri"/>
          <w:color w:val="1E293B"/>
          <w:sz w:val="21"/>
          <w:szCs w:val="21"/>
        </w:rPr>
        <w:t xml:space="preserve">PRA Rulebook — Credit Risk Part</w:t>
      </w:r>
    </w:p>
    <w:p>
      <w:pPr>
        <w:pStyle w:val="ListParagraph"/>
        <w:numPr>
          <w:ilvl w:val="0"/>
          <w:numId w:val="2"/>
        </w:numPr>
        <w:spacing w:after="80"/>
      </w:pPr>
      <w:r>
        <w:rPr>
          <w:rFonts w:ascii="Calibri" w:cs="Calibri" w:eastAsia="Calibri" w:hAnsi="Calibri"/>
          <w:color w:val="1E293B"/>
          <w:sz w:val="21"/>
          <w:szCs w:val="21"/>
        </w:rPr>
        <w:t xml:space="preserve">Internal Credit Policy CP-2024-006 — Covenant Management Standard</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Loan covenants (leverage ratios, interest cover, minimum EBITDA, LTV, information undertakings) are recorded in the covenant management module at facility origination. Borrowers submit periodic financial compliance certificates which are checked against covenant thresholds. Breaches are categorised and routed for credit action — waiver, amendment, reservation of rights, or default management.</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Covenant capture at origination — financial and non-financial undertakings recorded</w:t>
      </w:r>
    </w:p>
    <w:p>
      <w:pPr>
        <w:pStyle w:val="ListParagraph"/>
        <w:numPr>
          <w:ilvl w:val="0"/>
          <w:numId w:val="2"/>
        </w:numPr>
        <w:spacing w:after="80"/>
      </w:pPr>
      <w:r>
        <w:rPr>
          <w:rFonts w:ascii="Calibri" w:cs="Calibri" w:eastAsia="Calibri" w:hAnsi="Calibri"/>
          <w:color w:val="1E293B"/>
          <w:sz w:val="21"/>
          <w:szCs w:val="21"/>
        </w:rPr>
        <w:t xml:space="preserve">Compliance certificate tracking — borrower submissions logged and tested</w:t>
      </w:r>
    </w:p>
    <w:p>
      <w:pPr>
        <w:pStyle w:val="ListParagraph"/>
        <w:numPr>
          <w:ilvl w:val="0"/>
          <w:numId w:val="2"/>
        </w:numPr>
        <w:spacing w:after="80"/>
      </w:pPr>
      <w:r>
        <w:rPr>
          <w:rFonts w:ascii="Calibri" w:cs="Calibri" w:eastAsia="Calibri" w:hAnsi="Calibri"/>
          <w:color w:val="1E293B"/>
          <w:sz w:val="21"/>
          <w:szCs w:val="21"/>
        </w:rPr>
        <w:t xml:space="preserve">Breach detection — automated comparison of certificate data to thresholds</w:t>
      </w:r>
    </w:p>
    <w:p>
      <w:pPr>
        <w:pStyle w:val="ListParagraph"/>
        <w:numPr>
          <w:ilvl w:val="0"/>
          <w:numId w:val="2"/>
        </w:numPr>
        <w:spacing w:after="80"/>
      </w:pPr>
      <w:r>
        <w:rPr>
          <w:rFonts w:ascii="Calibri" w:cs="Calibri" w:eastAsia="Calibri" w:hAnsi="Calibri"/>
          <w:color w:val="1E293B"/>
          <w:sz w:val="21"/>
          <w:szCs w:val="21"/>
        </w:rPr>
        <w:t xml:space="preserve">Breach categorisation — technical / material / event-of-default</w:t>
      </w:r>
    </w:p>
    <w:p>
      <w:pPr>
        <w:pStyle w:val="ListParagraph"/>
        <w:numPr>
          <w:ilvl w:val="0"/>
          <w:numId w:val="2"/>
        </w:numPr>
        <w:spacing w:after="80"/>
      </w:pPr>
      <w:r>
        <w:rPr>
          <w:rFonts w:ascii="Calibri" w:cs="Calibri" w:eastAsia="Calibri" w:hAnsi="Calibri"/>
          <w:color w:val="1E293B"/>
          <w:sz w:val="21"/>
          <w:szCs w:val="21"/>
        </w:rPr>
        <w:t xml:space="preserve">Action workflow — waiver, amendment, reservation of rights, default management</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WEAKNESS FLAG: Covenant compliance certificate capture has significant gaps. As of Q1 2026, 23% of expected certificates were overdue or unrecorded, meaning the bank cannot confirm covenant compliance for nearly a quarter of the monitored portfolio. ACT-CL02-1 raised P1.</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Compliance certificates overdue/unrecorded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&gt;10% | Red: &gt;20%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Covenant breaches unactioned &gt;30 days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&gt;5 | Red: &gt;15</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Material breaches escalated to Credit Committee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100%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Waivers granted without documented rationale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&gt;3 | Red: &gt;8</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IFRS 9 SICR triggers from breaches captured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100% feed to ECL model</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Continuous certificate tracking; breach detection on each certificate; monthly portfolio covenant review; quarterly Credit Committee reporting.</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Portfolio Monitoring Team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Certificate chasing, breach detection, action tracking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Relationship Managers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Borrower certificate collection, breach negotiation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Credit Committee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Material breach decisions, waiver approval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Credit Risk Oversight (2nd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Independent breach management assurance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Finance / IFRS 9 team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SICR trigger consumption for ECL</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8"/>
              <w:bottom w:val="single" w:color="B91C1C" w:sz="8"/>
              <w:right w:val="single" w:color="B91C1C" w:sz="8"/>
            </w:tcBorders>
            <w:shd w:fill="FEE2E2"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WEAK. Breach management process is sound where breaches are detected, but the foundational certificate capture process has material gaps — 23% of certificates overdue/unrecorded. This means the bank may be unaware of covenant breaches across a significant portion of the portfolio. P1 remediation in flight.</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CL-CTRL-02 · Loan Covenant Monitoring &amp; Breach Management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2026-05-25T13:19:01.329Z</dcterms:created>
  <dcterms:modified xsi:type="dcterms:W3CDTF">2026-05-25T13:19:01.329Z</dcterms:modified>
</cp:coreProperties>
</file>

<file path=docProps/custom.xml><?xml version="1.0" encoding="utf-8"?>
<Properties xmlns="http://schemas.openxmlformats.org/officeDocument/2006/custom-properties" xmlns:vt="http://schemas.openxmlformats.org/officeDocument/2006/docPropsVTypes"/>
</file>