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Trade Finance Documentary Examination</w:t>
            </w:r>
          </w:p>
          <w:p>
            <w:pPr>
              <w:spacing w:after="120"/>
            </w:pPr>
            <w:r>
              <w:rPr>
                <w:rFonts w:ascii="Calibri" w:cs="Calibri" w:eastAsia="Calibri" w:hAnsi="Calibri"/>
                <w:color w:val="94BAF7"/>
                <w:sz w:val="22"/>
                <w:szCs w:val="22"/>
              </w:rPr>
              <w:t xml:space="preserve">Corporate &amp; Commercial Lending  |  CL-CTRL-04</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CL-CTRL-04</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Trade Finance Documentary Examination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H. Nwosu, Head of Trade Finance Operations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Ensure documents presented under letters of credit and documentary collections are examined for compliance with UCP 600 / URC 522 and facility terms before payment, preventing payment against discrepant or fraudulent documents.</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ICC UCP 600 — Uniform Customs and Practice for Documentary Credits</w:t>
      </w:r>
    </w:p>
    <w:p>
      <w:pPr>
        <w:pStyle w:val="ListParagraph"/>
        <w:numPr>
          <w:ilvl w:val="0"/>
          <w:numId w:val="2"/>
        </w:numPr>
        <w:spacing w:after="80"/>
      </w:pPr>
      <w:r>
        <w:rPr>
          <w:rFonts w:ascii="Calibri" w:cs="Calibri" w:eastAsia="Calibri" w:hAnsi="Calibri"/>
          <w:color w:val="1E293B"/>
          <w:sz w:val="21"/>
          <w:szCs w:val="21"/>
        </w:rPr>
        <w:t xml:space="preserve">ICC URC 522 — Uniform Rules for Collections</w:t>
      </w:r>
    </w:p>
    <w:p>
      <w:pPr>
        <w:pStyle w:val="ListParagraph"/>
        <w:numPr>
          <w:ilvl w:val="0"/>
          <w:numId w:val="2"/>
        </w:numPr>
        <w:spacing w:after="80"/>
      </w:pPr>
      <w:r>
        <w:rPr>
          <w:rFonts w:ascii="Calibri" w:cs="Calibri" w:eastAsia="Calibri" w:hAnsi="Calibri"/>
          <w:color w:val="1E293B"/>
          <w:sz w:val="21"/>
          <w:szCs w:val="21"/>
        </w:rPr>
        <w:t xml:space="preserve">ICC ISBP 821 — International Standard Banking Practice</w:t>
      </w:r>
    </w:p>
    <w:p>
      <w:pPr>
        <w:pStyle w:val="ListParagraph"/>
        <w:numPr>
          <w:ilvl w:val="0"/>
          <w:numId w:val="2"/>
        </w:numPr>
        <w:spacing w:after="80"/>
      </w:pPr>
      <w:r>
        <w:rPr>
          <w:rFonts w:ascii="Calibri" w:cs="Calibri" w:eastAsia="Calibri" w:hAnsi="Calibri"/>
          <w:color w:val="1E293B"/>
          <w:sz w:val="21"/>
          <w:szCs w:val="21"/>
        </w:rPr>
        <w:t xml:space="preserve">Wolfsberg Trade Finance Principles (financial crime in trade)</w:t>
      </w:r>
    </w:p>
    <w:p>
      <w:pPr>
        <w:pStyle w:val="ListParagraph"/>
        <w:numPr>
          <w:ilvl w:val="0"/>
          <w:numId w:val="2"/>
        </w:numPr>
        <w:spacing w:after="80"/>
      </w:pPr>
      <w:r>
        <w:rPr>
          <w:rFonts w:ascii="Calibri" w:cs="Calibri" w:eastAsia="Calibri" w:hAnsi="Calibri"/>
          <w:color w:val="1E293B"/>
          <w:sz w:val="21"/>
          <w:szCs w:val="21"/>
        </w:rPr>
        <w:t xml:space="preserve">Money Laundering Regulations 2017 — trade-based money laundering controls</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Documents presented under documentary credits (bills of lading, invoices, certificates of origin, insurance documents) are examined by trade finance specialists against the credit terms and UCP 600. Discrepancies are identified and communicated within the 5-banking-day examination period. Trade-based money laundering red flags (price anomalies, dual-use goods, sanctioned routes) are screened in parallel.</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Document examination against L/C terms within UCP 600 five-day window</w:t>
      </w:r>
    </w:p>
    <w:p>
      <w:pPr>
        <w:pStyle w:val="ListParagraph"/>
        <w:numPr>
          <w:ilvl w:val="0"/>
          <w:numId w:val="2"/>
        </w:numPr>
        <w:spacing w:after="80"/>
      </w:pPr>
      <w:r>
        <w:rPr>
          <w:rFonts w:ascii="Calibri" w:cs="Calibri" w:eastAsia="Calibri" w:hAnsi="Calibri"/>
          <w:color w:val="1E293B"/>
          <w:sz w:val="21"/>
          <w:szCs w:val="21"/>
        </w:rPr>
        <w:t xml:space="preserve">Discrepancy identification and notice to presenter</w:t>
      </w:r>
    </w:p>
    <w:p>
      <w:pPr>
        <w:pStyle w:val="ListParagraph"/>
        <w:numPr>
          <w:ilvl w:val="0"/>
          <w:numId w:val="2"/>
        </w:numPr>
        <w:spacing w:after="80"/>
      </w:pPr>
      <w:r>
        <w:rPr>
          <w:rFonts w:ascii="Calibri" w:cs="Calibri" w:eastAsia="Calibri" w:hAnsi="Calibri"/>
          <w:color w:val="1E293B"/>
          <w:sz w:val="21"/>
          <w:szCs w:val="21"/>
        </w:rPr>
        <w:t xml:space="preserve">Trade-based money laundering screening — price, goods, routing, parties</w:t>
      </w:r>
    </w:p>
    <w:p>
      <w:pPr>
        <w:pStyle w:val="ListParagraph"/>
        <w:numPr>
          <w:ilvl w:val="0"/>
          <w:numId w:val="2"/>
        </w:numPr>
        <w:spacing w:after="80"/>
      </w:pPr>
      <w:r>
        <w:rPr>
          <w:rFonts w:ascii="Calibri" w:cs="Calibri" w:eastAsia="Calibri" w:hAnsi="Calibri"/>
          <w:color w:val="1E293B"/>
          <w:sz w:val="21"/>
          <w:szCs w:val="21"/>
        </w:rPr>
        <w:t xml:space="preserve">Dual-use / sanctioned-goods screening against control lists</w:t>
      </w:r>
    </w:p>
    <w:p>
      <w:pPr>
        <w:pStyle w:val="ListParagraph"/>
        <w:numPr>
          <w:ilvl w:val="0"/>
          <w:numId w:val="2"/>
        </w:numPr>
        <w:spacing w:after="80"/>
      </w:pPr>
      <w:r>
        <w:rPr>
          <w:rFonts w:ascii="Calibri" w:cs="Calibri" w:eastAsia="Calibri" w:hAnsi="Calibri"/>
          <w:color w:val="1E293B"/>
          <w:sz w:val="21"/>
          <w:szCs w:val="21"/>
        </w:rPr>
        <w:t xml:space="preserve">Payment release only on compliant or accepted-discrepancy presentations</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operates effectively with experienced examiners. Trade-based money laundering screening has been strengthened following industry focus on trade as a financial crime vector.</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Examination completed within UCP 5-day window</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&gt;98%</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Discrepancies missed (found post-payment)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&gt;2 | Red: &gt;5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TBML red flags escalated to Financial Crime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Payment against discrepant docs without authority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 | Red: &gt;3</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Examiner certification currency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 CDCS-certified</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Per-presentation examination; continuous TBML screening; monthly operations review; quarterly financial-crime trade review.</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Trade Finance Examiners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Document examination, discrepancy identification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Trade Finance Manager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Examination oversight, discrepancy authority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Financial Crime Trade Team (1st Line/2nd)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TBML screening, red-flag investigation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Operational Risk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Independent examination quality assurance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Periodic trade operations review</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Examination quality strong, supported by CDCS-certified examiners. TBML screening enhanced. Watch item: examination volume growth in Asia-corridor trade is pressuring the 5-day window during peak periods.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CL-CTRL-04 · Trade Finance Documentary Examination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2026-05-25T13:19:01.791Z</dcterms:created>
  <dcterms:modified xsi:type="dcterms:W3CDTF">2026-05-25T13:19:01.791Z</dcterms:modified>
</cp:coreProperties>
</file>

<file path=docProps/custom.xml><?xml version="1.0" encoding="utf-8"?>
<Properties xmlns="http://schemas.openxmlformats.org/officeDocument/2006/custom-properties" xmlns:vt="http://schemas.openxmlformats.org/officeDocument/2006/docPropsVTypes"/>
</file>