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Credit Risk Grading &amp; Rating Model Application</w:t>
            </w:r>
          </w:p>
          <w:p>
            <w:pPr>
              <w:spacing w:after="120"/>
            </w:pPr>
            <w:r>
              <w:rPr>
                <w:rFonts w:ascii="Calibri" w:cs="Calibri" w:eastAsia="Calibri" w:hAnsi="Calibri"/>
                <w:color w:val="94BAF7"/>
                <w:sz w:val="22"/>
                <w:szCs w:val="22"/>
              </w:rPr>
              <w:t xml:space="preserve">Corporate &amp; Commercial Lending  |  CL-CTRL-05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Credit Risk Grading &amp; Rating Model Application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E. Bjørnson, Head of Credit Analytics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every corporate borrower is assigned an accurate, consistent internal credit risk grade using approved rating models, supporting correct pricing, provisioning, and capital calculation under the IRB framework.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CRR Articles 142-191 — Internal Ratings Based (IRB) approach</w:t>
      </w:r>
    </w:p>
    <w:p>
      <w:pPr>
        <w:pStyle w:val="ListParagraph"/>
        <w:numPr>
          <w:ilvl w:val="0"/>
          <w:numId w:val="2"/>
        </w:numPr>
        <w:spacing w:after="80"/>
      </w:pPr>
      <w:r>
        <w:rPr>
          <w:rFonts w:ascii="Calibri" w:cs="Calibri" w:eastAsia="Calibri" w:hAnsi="Calibri"/>
          <w:color w:val="1E293B"/>
          <w:sz w:val="21"/>
          <w:szCs w:val="21"/>
        </w:rPr>
        <w:t xml:space="preserve">PRA SS11/13 — IRB approach for credit risk</w:t>
      </w:r>
    </w:p>
    <w:p>
      <w:pPr>
        <w:pStyle w:val="ListParagraph"/>
        <w:numPr>
          <w:ilvl w:val="0"/>
          <w:numId w:val="2"/>
        </w:numPr>
        <w:spacing w:after="80"/>
      </w:pPr>
      <w:r>
        <w:rPr>
          <w:rFonts w:ascii="Calibri" w:cs="Calibri" w:eastAsia="Calibri" w:hAnsi="Calibri"/>
          <w:color w:val="1E293B"/>
          <w:sz w:val="21"/>
          <w:szCs w:val="21"/>
        </w:rPr>
        <w:t xml:space="preserve">Basel III — IRB rating system requirements</w:t>
      </w:r>
    </w:p>
    <w:p>
      <w:pPr>
        <w:pStyle w:val="ListParagraph"/>
        <w:numPr>
          <w:ilvl w:val="0"/>
          <w:numId w:val="2"/>
        </w:numPr>
        <w:spacing w:after="80"/>
      </w:pPr>
      <w:r>
        <w:rPr>
          <w:rFonts w:ascii="Calibri" w:cs="Calibri" w:eastAsia="Calibri" w:hAnsi="Calibri"/>
          <w:color w:val="1E293B"/>
          <w:sz w:val="21"/>
          <w:szCs w:val="21"/>
        </w:rPr>
        <w:t xml:space="preserve">EBA Guidelines on PD estimation (EBA/GL/2017/16)</w:t>
      </w:r>
    </w:p>
    <w:p>
      <w:pPr>
        <w:pStyle w:val="ListParagraph"/>
        <w:numPr>
          <w:ilvl w:val="0"/>
          <w:numId w:val="2"/>
        </w:numPr>
        <w:spacing w:after="80"/>
      </w:pPr>
      <w:r>
        <w:rPr>
          <w:rFonts w:ascii="Calibri" w:cs="Calibri" w:eastAsia="Calibri" w:hAnsi="Calibri"/>
          <w:color w:val="1E293B"/>
          <w:sz w:val="21"/>
          <w:szCs w:val="21"/>
        </w:rPr>
        <w:t xml:space="preserve">PRA model risk management (SS1/23)</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Corporate borrowers are graded using approved rating models (large corporate, mid-market, specialised lending slotting) producing probability-of-default estimates mapped to a master rating scale. Grades drive pricing, IFRS 9 provisioning, and IRB capital. Model application is governed — analyst override is permitted within bounds, requiring documented justification and senior approval.</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Rating model application — financial data + qualitative factors → PD grade</w:t>
      </w:r>
    </w:p>
    <w:p>
      <w:pPr>
        <w:pStyle w:val="ListParagraph"/>
        <w:numPr>
          <w:ilvl w:val="0"/>
          <w:numId w:val="2"/>
        </w:numPr>
        <w:spacing w:after="80"/>
      </w:pPr>
      <w:r>
        <w:rPr>
          <w:rFonts w:ascii="Calibri" w:cs="Calibri" w:eastAsia="Calibri" w:hAnsi="Calibri"/>
          <w:color w:val="1E293B"/>
          <w:sz w:val="21"/>
          <w:szCs w:val="21"/>
        </w:rPr>
        <w:t xml:space="preserve">Master scale mapping — model PD to 1-22 internal grade scale</w:t>
      </w:r>
    </w:p>
    <w:p>
      <w:pPr>
        <w:pStyle w:val="ListParagraph"/>
        <w:numPr>
          <w:ilvl w:val="0"/>
          <w:numId w:val="2"/>
        </w:numPr>
        <w:spacing w:after="80"/>
      </w:pPr>
      <w:r>
        <w:rPr>
          <w:rFonts w:ascii="Calibri" w:cs="Calibri" w:eastAsia="Calibri" w:hAnsi="Calibri"/>
          <w:color w:val="1E293B"/>
          <w:sz w:val="21"/>
          <w:szCs w:val="21"/>
        </w:rPr>
        <w:t xml:space="preserve">Override governance — analyst overrides bounded, justified, approved</w:t>
      </w:r>
    </w:p>
    <w:p>
      <w:pPr>
        <w:pStyle w:val="ListParagraph"/>
        <w:numPr>
          <w:ilvl w:val="0"/>
          <w:numId w:val="2"/>
        </w:numPr>
        <w:spacing w:after="80"/>
      </w:pPr>
      <w:r>
        <w:rPr>
          <w:rFonts w:ascii="Calibri" w:cs="Calibri" w:eastAsia="Calibri" w:hAnsi="Calibri"/>
          <w:color w:val="1E293B"/>
          <w:sz w:val="21"/>
          <w:szCs w:val="21"/>
        </w:rPr>
        <w:t xml:space="preserve">Annual rating review — every borrower re-graded at least annually</w:t>
      </w:r>
    </w:p>
    <w:p>
      <w:pPr>
        <w:pStyle w:val="ListParagraph"/>
        <w:numPr>
          <w:ilvl w:val="0"/>
          <w:numId w:val="2"/>
        </w:numPr>
        <w:spacing w:after="80"/>
      </w:pPr>
      <w:r>
        <w:rPr>
          <w:rFonts w:ascii="Calibri" w:cs="Calibri" w:eastAsia="Calibri" w:hAnsi="Calibri"/>
          <w:color w:val="1E293B"/>
          <w:sz w:val="21"/>
          <w:szCs w:val="21"/>
        </w:rPr>
        <w:t xml:space="preserve">Model monitoring — PD calibration tracked, drift flagged to Model Risk</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within the IRB framework. Rating discipline is strong, supported by model governance. The main focus area is override rate, which is monitored to ensure model integrity is maintained.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Annual rating reviews overdue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 | Red: &gt;10%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Override rate (analyst vs model grade)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&gt;15% | Red: &gt;25%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Overrides without documented justification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PD calibration drift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amber per Model Risk | Red: 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Rating-pricing consistency exceptions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&gt;10 | Red: &gt;25</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Per-borrower at origination and annually; continuous override monitoring; quarterly model performance review; annual model validation.</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Analysts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Rating model application, override justification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Analytics Team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Master scale, override monitoring, rating discipline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Risk Management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Model validation, calibration monitoring (SS1/23)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Credit Risk Committee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Rating policy, override appetite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Periodic IRB rating system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rating discipline within the IRB framework. Override rate at 13% (within amber) reflects appropriate analyst judgement. Watch item: the mid-market model is showing early calibration drift flagged by Model Risk — recalibration scheduled.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CL-CTRL-05 · Credit Risk Grading &amp; Rating Model Application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2026-05-25T13:19:01.877Z</dcterms:created>
  <dcterms:modified xsi:type="dcterms:W3CDTF">2026-05-25T13:19:01.877Z</dcterms:modified>
</cp:coreProperties>
</file>

<file path=docProps/custom.xml><?xml version="1.0" encoding="utf-8"?>
<Properties xmlns="http://schemas.openxmlformats.org/officeDocument/2006/custom-properties" xmlns:vt="http://schemas.openxmlformats.org/officeDocument/2006/docPropsVTypes"/>
</file>