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12"/>
              <w:left w:val="single" w:color="0F2240" w:sz="24"/>
              <w:bottom w:val="single" w:color="0B7A75" w:sz="12"/>
              <w:right w:val="single" w:color="0B7A75"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OWNER INTERVIEW</w:t>
            </w:r>
          </w:p>
          <w:p>
            <w:pPr>
              <w:spacing w:after="120"/>
            </w:pPr>
            <w:r>
              <w:rPr>
                <w:rFonts w:ascii="Calibri" w:cs="Calibri" w:eastAsia="Calibri" w:hAnsi="Calibri"/>
                <w:b/>
                <w:bCs/>
                <w:color w:val="FFFFFF"/>
                <w:sz w:val="36"/>
                <w:szCs w:val="36"/>
              </w:rPr>
              <w:t xml:space="preserve">Collateral Valuation &amp; Security Perfection</w:t>
            </w:r>
          </w:p>
          <w:p>
            <w:pPr>
              <w:spacing w:after="120"/>
            </w:pPr>
            <w:r>
              <w:rPr>
                <w:rFonts w:ascii="Calibri" w:cs="Calibri" w:eastAsia="Calibri" w:hAnsi="Calibri"/>
                <w:color w:val="94BAF7"/>
                <w:sz w:val="22"/>
                <w:szCs w:val="22"/>
              </w:rPr>
              <w:t xml:space="preserve">Corporate &amp; Commercial Lending  |  CL-CTRL-06</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CL-CTRL-06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Collateral Valuation &amp; Security Perfection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Corporate &amp; Commercial Lending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Owner Interview</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P. Andersson, Head of Security &amp; Collateral</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Adequate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Call Details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7, 2026 · per RCSA-2026-Q2 schedule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Format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Microsoft Teams — recorded with consent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Interviewer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S. Chen, Senior Risk Analyst (2nd Line)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Interviewee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P. Andersson, Head of Security &amp; Collateral (1st Line)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CL-CTRL-06</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Opening — Control Context</w:t>
            </w:r>
          </w:p>
        </w:tc>
      </w:tr>
    </w:tbl>
    <w:p>
      <w:pPr>
        <w:spacing w:after="120"/>
      </w:pPr>
      <w:r>
        <w:rPr>
          <w:rFonts w:ascii="Calibri" w:cs="Calibri" w:eastAsia="Calibri" w:hAnsi="Calibri"/>
          <w:sz w:val="21"/>
          <w:szCs w:val="21"/>
        </w:rPr>
        <w:t xml:space="preserve">S. Chen confirmed the scope of the Collateral Valuation &amp; Security Perfection control as documented in the Q2 2026 RCSA refresh. P. Andersson, Head of Security &amp; Collateral confirmed control ownership and described the supporting team and governance structure.</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Discussion — Key Topics</w:t>
            </w:r>
          </w:p>
        </w:tc>
      </w:tr>
    </w:tbl>
    <w:p>
      <w:pPr>
        <w:spacing w:after="120"/>
      </w:pPr>
      <w:r>
        <w:rPr>
          <w:rFonts w:ascii="Calibri" w:cs="Calibri" w:eastAsia="Calibri" w:hAnsi="Calibri"/>
          <w:b/>
          <w:bCs/>
          <w:color w:val="0F2240"/>
          <w:sz w:val="21"/>
          <w:szCs w:val="21"/>
        </w:rPr>
        <w:t xml:space="preserve">1. Perfection Discipline</w:t>
      </w:r>
    </w:p>
    <w:p>
      <w:pPr>
        <w:spacing w:after="120"/>
      </w:pPr>
      <w:r>
        <w:rPr>
          <w:rFonts w:ascii="Calibri" w:cs="Calibri" w:eastAsia="Calibri" w:hAnsi="Calibri"/>
          <w:sz w:val="21"/>
          <w:szCs w:val="21"/>
        </w:rPr>
        <w:t xml:space="preserve">P. Andersson confirmed security perfection is strong — 100% of charges registered within the statutory window in Q1. The legal workflow with external counsel is well-controlled, with clear handoffs and deadline tracking. Unperfected security is the single biggest risk in collateral management and the team treats it as critical.</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2. Valuation Currency Challenge</w:t>
      </w:r>
    </w:p>
    <w:p>
      <w:pPr>
        <w:spacing w:after="120"/>
      </w:pPr>
      <w:r>
        <w:rPr>
          <w:rFonts w:ascii="Calibri" w:cs="Calibri" w:eastAsia="Calibri" w:hAnsi="Calibri"/>
          <w:sz w:val="21"/>
          <w:szCs w:val="21"/>
        </w:rPr>
        <w:t xml:space="preserve">9% of collateral valuations are overdue against policy frequency (above 8% amber). Concentrated in commercial property — revaluation requires physical inspection, valuer availability, and cost. P. Andersson is prioritising overdue valuations on higher-LTV facilities first. The team is also exploring desktop/AVM revaluation for lower-risk property to reduce the backlog.</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3. Commercial Real Estate Market Conditions</w:t>
      </w:r>
    </w:p>
    <w:p>
      <w:pPr>
        <w:spacing w:after="120"/>
      </w:pPr>
      <w:r>
        <w:rPr>
          <w:rFonts w:ascii="Calibri" w:cs="Calibri" w:eastAsia="Calibri" w:hAnsi="Calibri"/>
          <w:sz w:val="21"/>
          <w:szCs w:val="21"/>
        </w:rPr>
        <w:t xml:space="preserve">Asked about CRE valuation risk given market softness. P. Andersson confirmed several CRE revaluations showed value declines, appropriately reflected in LGD and provisioning. No facilities pushed into LTV covenant breach in Q1, but the team is watching the CRE portfolio closely as a sector concern.</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4. CRM Eligibility</w:t>
      </w:r>
    </w:p>
    <w:p>
      <w:pPr>
        <w:spacing w:after="120"/>
      </w:pPr>
      <w:r>
        <w:rPr>
          <w:rFonts w:ascii="Calibri" w:cs="Calibri" w:eastAsia="Calibri" w:hAnsi="Calibri"/>
          <w:sz w:val="21"/>
          <w:szCs w:val="21"/>
        </w:rPr>
        <w:t xml:space="preserve">Only eligible collateral (per CRR) reduces capital and LGD. P. Andersson confirmed eligibility is checked — collateral must be valued, perfected, and of an eligible type. Q1 review found no material instances of CRM benefit claimed on ineligible collateral.</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5. Receivables and Inventory Collateral</w:t>
      </w:r>
    </w:p>
    <w:p>
      <w:pPr>
        <w:spacing w:after="120"/>
      </w:pPr>
      <w:r>
        <w:rPr>
          <w:rFonts w:ascii="Calibri" w:cs="Calibri" w:eastAsia="Calibri" w:hAnsi="Calibri"/>
          <w:sz w:val="21"/>
          <w:szCs w:val="21"/>
        </w:rPr>
        <w:t xml:space="preserve">Working-capital facilities secured on receivables/inventory require more frequent revaluation (borrowing-base certificates). P. Andersson confirmed borrowing-base monitoring is operating, with monthly certificates checked against advance rates.</w:t>
      </w:r>
    </w:p>
    <w:p>
      <w:pPr>
        <w:spacing w:after="100"/>
      </w:pPr>
      <w:r>
        <w:rPr>
          <w:rFonts w:ascii="Calibri" w:cs="Calibri" w:eastAsia="Calibri" w:hAnsi="Calibri"/>
        </w:rPr>
        <w:t xml:space="preserve"/>
      </w:r>
    </w:p>
    <w:p>
      <w:pPr>
        <w:spacing w:after="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Control Owner Self-Assessment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960"/>
        <w:gridCol w:w="2000"/>
      </w:tblGrid>
      <w:tr>
        <w:tc>
          <w:tcPr>
            <w:tcW w:type="dxa" w:w="19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Dimension</w:t>
            </w:r>
          </w:p>
        </w:tc>
        <w:tc>
          <w:tcPr>
            <w:tcW w:type="dxa" w:w="15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Owner Rating</w:t>
            </w:r>
          </w:p>
        </w:tc>
        <w:tc>
          <w:tcPr>
            <w:tcW w:type="dxa" w:w="396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Rationale</w:t>
            </w:r>
          </w:p>
        </w:tc>
        <w:tc>
          <w:tcPr>
            <w:tcW w:type="dxa" w:w="20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Notes</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Design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Strong</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Valuation, perfection, register, CRM all integrated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Operating Effectiveness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Adequate</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Perfection strong; valuation currency above amber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Backlog prioritised</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Documentation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Strong</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Perfection standard and methodology documented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CRM Integrity</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Adequate</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Eligibility checked; no material issues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Overall Self-Assessment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Adequate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Effective; valuation backlog the focus area</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Action Items from Interview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Action</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Owner / Due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ACT-CL06-1: Clear overdue collateral valuations below 5%, prioritising high-LTV</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 Andersson / Jun 30, 2026</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ACT-CL06-2: Implement desktop/AVM revaluation for lower-risk property</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 Andersson / Q3 2026</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ACT-CL06-3: CRE portfolio valuation deep-dive given market conditions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 Andersson + Credit / Q2 2026</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8"/>
              <w:left w:val="single" w:color="0B7A75" w:sz="8"/>
              <w:bottom w:val="single" w:color="0B7A75" w:sz="8"/>
              <w:right w:val="single" w:color="0B7A75" w:sz="8"/>
            </w:tcBorders>
            <w:shd w:fill="EBF1FC"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Interview concluded. Control owner experienced in security and collateral. Recommended residual risk rating: ADEQUATE. No P1 actions. Valuation currency (especially CRE) is the active watch item; perfection discipline is strong.</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CL-CTRL-06 · Collateral Valuation &amp; Security Perfection  </w:t>
          </w:r>
          <w:r>
            <w:rPr>
              <w:rFonts w:ascii="Calibri" w:cs="Calibri" w:eastAsia="Calibri" w:hAnsi="Calibri"/>
              <w:color w:val="64748B"/>
              <w:sz w:val="18"/>
              <w:szCs w:val="18"/>
            </w:rPr>
            <w:t xml:space="preserve">| Control Owner Interview</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Bank Group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2026-05-25T13:19:02.007Z</dcterms:created>
  <dcterms:modified xsi:type="dcterms:W3CDTF">2026-05-25T13:19:02.007Z</dcterms:modified>
</cp:coreProperties>
</file>

<file path=docProps/custom.xml><?xml version="1.0" encoding="utf-8"?>
<Properties xmlns="http://schemas.openxmlformats.org/officeDocument/2006/custom-properties" xmlns:vt="http://schemas.openxmlformats.org/officeDocument/2006/docPropsVTypes"/>
</file>