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12"/>
              <w:left w:val="single" w:color="0F2240" w:sz="24"/>
              <w:bottom w:val="single" w:color="1E4FA8" w:sz="12"/>
              <w:right w:val="single" w:color="1E4FA8"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SPECIFICATION</w:t>
            </w:r>
          </w:p>
          <w:p>
            <w:pPr>
              <w:spacing w:after="120"/>
            </w:pPr>
            <w:r>
              <w:rPr>
                <w:rFonts w:ascii="Calibri" w:cs="Calibri" w:eastAsia="Calibri" w:hAnsi="Calibri"/>
                <w:b/>
                <w:bCs/>
                <w:color w:val="FFFFFF"/>
                <w:sz w:val="36"/>
                <w:szCs w:val="36"/>
              </w:rPr>
              <w:t xml:space="preserve">Corporate Customer Onboarding &amp; KYB Due Diligence</w:t>
            </w:r>
          </w:p>
          <w:p>
            <w:pPr>
              <w:spacing w:after="120"/>
            </w:pPr>
            <w:r>
              <w:rPr>
                <w:rFonts w:ascii="Calibri" w:cs="Calibri" w:eastAsia="Calibri" w:hAnsi="Calibri"/>
                <w:color w:val="94BAF7"/>
                <w:sz w:val="22"/>
                <w:szCs w:val="22"/>
              </w:rPr>
              <w:t xml:space="preserve">Corporate &amp; Commercial Lending  |  CL-CTRL-08</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CL-CTRL-08</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Corporate Customer Onboarding &amp; KYB Due Diligence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Corporate &amp; Commercial Lending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Specification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S. Okafor, Head of Corporate Onboarding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Technical Architecture</w:t>
            </w:r>
          </w:p>
        </w:tc>
      </w:tr>
    </w:tbl>
    <w:p>
      <w:pPr>
        <w:spacing w:after="120"/>
      </w:pPr>
      <w:r>
        <w:rPr>
          <w:rFonts w:ascii="Calibri" w:cs="Calibri" w:eastAsia="Calibri" w:hAnsi="Calibri"/>
          <w:sz w:val="21"/>
          <w:szCs w:val="21"/>
        </w:rPr>
        <w:t xml:space="preserve">The Corporate Customer Onboarding &amp; KYB Due Diligence control is implemented via the following technical and operational stack:</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Component</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Detail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Platform</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Fenergo client lifecycle management + World-Check screening</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UBO tooling</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Corporate structure mapping + PSC register integration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Screening</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Sanctions, PEP, adverse media via World-Check One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Risk rating</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Customer risk model — jurisdiction, sector, structure, products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Document management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Verified document repository, refresh tracking</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Audit retention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10 years post-relationship per ML Regs</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Control Activities &amp; Evidence</w:t>
            </w:r>
          </w:p>
        </w:tc>
      </w:tr>
    </w:tbl>
    <w:p>
      <w:pPr>
        <w:spacing w:after="120"/>
      </w:pPr>
      <w:r>
        <w:rPr>
          <w:rFonts w:ascii="Calibri" w:cs="Calibri" w:eastAsia="Calibri" w:hAnsi="Calibri"/>
          <w:sz w:val="21"/>
          <w:szCs w:val="21"/>
        </w:rPr>
        <w:t xml:space="preserve">The following activities are performed and evidence retained for each operation of the control:</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Activity</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Evidence Captured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Control trigger event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Timestamped record in primary system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Detection / monitoring outcome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Outcome flags + reasoning captured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Manual intervention (if any)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User ID, timestamp, justification in audit log</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Escalation (if criteria met)</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Workflow case opened, route logged, owner assigned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Resolution / closure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Final outcome + supporting documentation attached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Reporting</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KRI reports generated and distributed per cadence</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Exception Handling</w:t>
            </w:r>
          </w:p>
        </w:tc>
      </w:tr>
    </w:tbl>
    <w:p>
      <w:pPr>
        <w:pStyle w:val="ListParagraph"/>
        <w:numPr>
          <w:ilvl w:val="0"/>
          <w:numId w:val="2"/>
        </w:numPr>
        <w:spacing w:after="80"/>
      </w:pPr>
      <w:r>
        <w:rPr>
          <w:rFonts w:ascii="Calibri" w:cs="Calibri" w:eastAsia="Calibri" w:hAnsi="Calibri"/>
          <w:color w:val="1E293B"/>
          <w:sz w:val="21"/>
          <w:szCs w:val="21"/>
        </w:rPr>
        <w:t xml:space="preserve">Standard exception — handled through documented escalation pathway with SLA</w:t>
      </w:r>
    </w:p>
    <w:p>
      <w:pPr>
        <w:pStyle w:val="ListParagraph"/>
        <w:numPr>
          <w:ilvl w:val="0"/>
          <w:numId w:val="2"/>
        </w:numPr>
        <w:spacing w:after="80"/>
      </w:pPr>
      <w:r>
        <w:rPr>
          <w:rFonts w:ascii="Calibri" w:cs="Calibri" w:eastAsia="Calibri" w:hAnsi="Calibri"/>
          <w:color w:val="1E293B"/>
          <w:sz w:val="21"/>
          <w:szCs w:val="21"/>
        </w:rPr>
        <w:t xml:space="preserve">System unavailability — fail-safe / manual fallback procedure documented in BCP</w:t>
      </w:r>
    </w:p>
    <w:p>
      <w:pPr>
        <w:pStyle w:val="ListParagraph"/>
        <w:numPr>
          <w:ilvl w:val="0"/>
          <w:numId w:val="2"/>
        </w:numPr>
        <w:spacing w:after="80"/>
      </w:pPr>
      <w:r>
        <w:rPr>
          <w:rFonts w:ascii="Calibri" w:cs="Calibri" w:eastAsia="Calibri" w:hAnsi="Calibri"/>
          <w:color w:val="1E293B"/>
          <w:sz w:val="21"/>
          <w:szCs w:val="21"/>
        </w:rPr>
        <w:t xml:space="preserve">Data quality issue — referred to upstream data owner, control may pause if material</w:t>
      </w:r>
    </w:p>
    <w:p>
      <w:pPr>
        <w:pStyle w:val="ListParagraph"/>
        <w:numPr>
          <w:ilvl w:val="0"/>
          <w:numId w:val="2"/>
        </w:numPr>
        <w:spacing w:after="80"/>
      </w:pPr>
      <w:r>
        <w:rPr>
          <w:rFonts w:ascii="Calibri" w:cs="Calibri" w:eastAsia="Calibri" w:hAnsi="Calibri"/>
          <w:color w:val="1E293B"/>
          <w:sz w:val="21"/>
          <w:szCs w:val="21"/>
        </w:rPr>
        <w:t xml:space="preserve">Regulatory threshold breach — immediate escalation to relevant SMF / Risk Director</w:t>
      </w:r>
    </w:p>
    <w:p>
      <w:pPr>
        <w:pStyle w:val="ListParagraph"/>
        <w:numPr>
          <w:ilvl w:val="0"/>
          <w:numId w:val="2"/>
        </w:numPr>
        <w:spacing w:after="80"/>
      </w:pPr>
      <w:r>
        <w:rPr>
          <w:rFonts w:ascii="Calibri" w:cs="Calibri" w:eastAsia="Calibri" w:hAnsi="Calibri"/>
          <w:color w:val="1E293B"/>
          <w:sz w:val="21"/>
          <w:szCs w:val="21"/>
        </w:rPr>
        <w:t xml:space="preserve">Limit/mandate breach — automated block plus escalation per delegated authority matrix</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Performance Standards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Standard</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Target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Detection / coverage rate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Per control design (100% in-scope population)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Adjudication / resolution SLA</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Per control SLA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Audit trail completeness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100% of cases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Documentation currency</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Reviewed at least annually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Training completion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100% of in-scope staff annually</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Dependencies</w:t>
            </w:r>
          </w:p>
        </w:tc>
      </w:tr>
    </w:tbl>
    <w:p>
      <w:pPr>
        <w:spacing w:after="120"/>
      </w:pPr>
      <w:r>
        <w:rPr>
          <w:rFonts w:ascii="Calibri" w:cs="Calibri" w:eastAsia="Calibri" w:hAnsi="Calibri"/>
          <w:sz w:val="21"/>
          <w:szCs w:val="21"/>
        </w:rPr>
        <w:t xml:space="preserve">This control depends on the availability and quality of upstream data feeds, supporting platform infrastructure, and trained operational staff. Material dependencies are subject to separate IT and operational risk monitoring under the bank's third-party and technology risk frameworks.</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CL-CTRL-08 · Corporate Customer Onboarding &amp; KYB Due Diligence  </w:t>
          </w:r>
          <w:r>
            <w:rPr>
              <w:rFonts w:ascii="Calibri" w:cs="Calibri" w:eastAsia="Calibri" w:hAnsi="Calibri"/>
              <w:color w:val="64748B"/>
              <w:sz w:val="18"/>
              <w:szCs w:val="18"/>
            </w:rPr>
            <w:t xml:space="preserve">| Control Specification</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2026-05-25T13:19:02.221Z</dcterms:created>
  <dcterms:modified xsi:type="dcterms:W3CDTF">2026-05-25T13:19:02.221Z</dcterms:modified>
</cp:coreProperties>
</file>

<file path=docProps/custom.xml><?xml version="1.0" encoding="utf-8"?>
<Properties xmlns="http://schemas.openxmlformats.org/officeDocument/2006/custom-properties" xmlns:vt="http://schemas.openxmlformats.org/officeDocument/2006/docPropsVTypes"/>
</file>