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Facility Drawdown &amp; Conditions Precedent Verification</w:t>
            </w:r>
          </w:p>
          <w:p>
            <w:pPr>
              <w:spacing w:after="120"/>
            </w:pPr>
            <w:r>
              <w:rPr>
                <w:rFonts w:ascii="Calibri" w:cs="Calibri" w:eastAsia="Calibri" w:hAnsi="Calibri"/>
                <w:color w:val="94BAF7"/>
                <w:sz w:val="22"/>
                <w:szCs w:val="22"/>
              </w:rPr>
              <w:t xml:space="preserve">Corporate &amp; Commercial Lending  |  CL-CTRL-10</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CL-CTRL-10</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Facility Drawdown &amp; Conditions Precedent Verification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T. Eriksen, Head of Credit Administration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Facility Drawdown &amp; Conditions Precedent Verification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Loans IQ + Credit Administration workflow</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CP checklist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Facility-specific, derived from credit approval terms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Drawdown gate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System block until CP sign-off complete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CS tracking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Conditions-subsequent register with due dates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 verification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Executed-document repository linkage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 years per credit record-keeping</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CL-CTRL-10 · Facility Drawdown &amp; Conditions Precedent Verification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2026-05-25T13:19:02.404Z</dcterms:created>
  <dcterms:modified xsi:type="dcterms:W3CDTF">2026-05-25T13:19:02.404Z</dcterms:modified>
</cp:coreProperties>
</file>

<file path=docProps/custom.xml><?xml version="1.0" encoding="utf-8"?>
<Properties xmlns="http://schemas.openxmlformats.org/officeDocument/2006/custom-properties" xmlns:vt="http://schemas.openxmlformats.org/officeDocument/2006/docPropsVTypes"/>
</file>