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Best Execution Monitoring</w:t>
            </w:r>
          </w:p>
          <w:p>
            <w:pPr>
              <w:spacing w:after="120"/>
            </w:pPr>
            <w:r>
              <w:rPr>
                <w:rFonts w:ascii="Calibri" w:cs="Calibri" w:eastAsia="Calibri" w:hAnsi="Calibri"/>
                <w:color w:val="94BAF7"/>
                <w:sz w:val="22"/>
                <w:szCs w:val="22"/>
              </w:rPr>
              <w:t xml:space="preserve">Markets &amp; Trading  |  MT-CTRL-06</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Best Execution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 Fontaine, Head of Execution Quality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the firm takes all sufficient steps to obtain the best possible result for clients when executing orders, monitoring execution quality across venues and instruments in compliance with MiFID II best execution requirements.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MiFID II — best execution (RTS 27/28 historically; ongoing best ex obligations)</w:t>
      </w:r>
    </w:p>
    <w:p>
      <w:pPr>
        <w:pStyle w:val="ListParagraph"/>
        <w:numPr>
          <w:ilvl w:val="0"/>
          <w:numId w:val="2"/>
        </w:numPr>
        <w:spacing w:after="80"/>
      </w:pPr>
      <w:r>
        <w:rPr>
          <w:rFonts w:ascii="Calibri" w:cs="Calibri" w:eastAsia="Calibri" w:hAnsi="Calibri"/>
          <w:color w:val="1E293B"/>
          <w:sz w:val="21"/>
          <w:szCs w:val="21"/>
        </w:rPr>
        <w:t xml:space="preserve">FCA COBS 11.2A — best execution</w:t>
      </w:r>
    </w:p>
    <w:p>
      <w:pPr>
        <w:pStyle w:val="ListParagraph"/>
        <w:numPr>
          <w:ilvl w:val="0"/>
          <w:numId w:val="2"/>
        </w:numPr>
        <w:spacing w:after="80"/>
      </w:pPr>
      <w:r>
        <w:rPr>
          <w:rFonts w:ascii="Calibri" w:cs="Calibri" w:eastAsia="Calibri" w:hAnsi="Calibri"/>
          <w:color w:val="1E293B"/>
          <w:sz w:val="21"/>
          <w:szCs w:val="21"/>
        </w:rPr>
        <w:t xml:space="preserve">FCA Conduct rules</w:t>
      </w:r>
    </w:p>
    <w:p>
      <w:pPr>
        <w:pStyle w:val="ListParagraph"/>
        <w:numPr>
          <w:ilvl w:val="0"/>
          <w:numId w:val="2"/>
        </w:numPr>
        <w:spacing w:after="80"/>
      </w:pPr>
      <w:r>
        <w:rPr>
          <w:rFonts w:ascii="Calibri" w:cs="Calibri" w:eastAsia="Calibri" w:hAnsi="Calibri"/>
          <w:color w:val="1E293B"/>
          <w:sz w:val="21"/>
          <w:szCs w:val="21"/>
        </w:rPr>
        <w:t xml:space="preserve">SEC Reg NMS (for US activity)</w:t>
      </w:r>
    </w:p>
    <w:p>
      <w:pPr>
        <w:pStyle w:val="ListParagraph"/>
        <w:numPr>
          <w:ilvl w:val="0"/>
          <w:numId w:val="2"/>
        </w:numPr>
        <w:spacing w:after="80"/>
      </w:pPr>
      <w:r>
        <w:rPr>
          <w:rFonts w:ascii="Calibri" w:cs="Calibri" w:eastAsia="Calibri" w:hAnsi="Calibri"/>
          <w:color w:val="1E293B"/>
          <w:sz w:val="21"/>
          <w:szCs w:val="21"/>
        </w:rPr>
        <w:t xml:space="preserve">Consumer Duty (where retail clients affected)</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Execution quality monitored across all client order flow — comparing achieved execution against benchmarks (arrival price, VWAP, venue analysis). Order routing logic reviewed for best execution compliance. Outliers investigated. Execution policy reviewed and disclosed to clients. Venue analysis assesses execution quality by venue.</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Execution benchmarking — arrival price, interval VWAP, implementation shortfall</w:t>
      </w:r>
    </w:p>
    <w:p>
      <w:pPr>
        <w:pStyle w:val="ListParagraph"/>
        <w:numPr>
          <w:ilvl w:val="0"/>
          <w:numId w:val="2"/>
        </w:numPr>
        <w:spacing w:after="80"/>
      </w:pPr>
      <w:r>
        <w:rPr>
          <w:rFonts w:ascii="Calibri" w:cs="Calibri" w:eastAsia="Calibri" w:hAnsi="Calibri"/>
          <w:color w:val="1E293B"/>
          <w:sz w:val="21"/>
          <w:szCs w:val="21"/>
        </w:rPr>
        <w:t xml:space="preserve">Venue analysis — execution quality comparison across venues/SIs</w:t>
      </w:r>
    </w:p>
    <w:p>
      <w:pPr>
        <w:pStyle w:val="ListParagraph"/>
        <w:numPr>
          <w:ilvl w:val="0"/>
          <w:numId w:val="2"/>
        </w:numPr>
        <w:spacing w:after="80"/>
      </w:pPr>
      <w:r>
        <w:rPr>
          <w:rFonts w:ascii="Calibri" w:cs="Calibri" w:eastAsia="Calibri" w:hAnsi="Calibri"/>
          <w:color w:val="1E293B"/>
          <w:sz w:val="21"/>
          <w:szCs w:val="21"/>
        </w:rPr>
        <w:t xml:space="preserve">Outlier investigation — trades breaching execution tolerance reviewed</w:t>
      </w:r>
    </w:p>
    <w:p>
      <w:pPr>
        <w:pStyle w:val="ListParagraph"/>
        <w:numPr>
          <w:ilvl w:val="0"/>
          <w:numId w:val="2"/>
        </w:numPr>
        <w:spacing w:after="80"/>
      </w:pPr>
      <w:r>
        <w:rPr>
          <w:rFonts w:ascii="Calibri" w:cs="Calibri" w:eastAsia="Calibri" w:hAnsi="Calibri"/>
          <w:color w:val="1E293B"/>
          <w:sz w:val="21"/>
          <w:szCs w:val="21"/>
        </w:rPr>
        <w:t xml:space="preserve">Order routing review — smart order router logic best-ex aligned</w:t>
      </w:r>
    </w:p>
    <w:p>
      <w:pPr>
        <w:pStyle w:val="ListParagraph"/>
        <w:numPr>
          <w:ilvl w:val="0"/>
          <w:numId w:val="2"/>
        </w:numPr>
        <w:spacing w:after="80"/>
      </w:pPr>
      <w:r>
        <w:rPr>
          <w:rFonts w:ascii="Calibri" w:cs="Calibri" w:eastAsia="Calibri" w:hAnsi="Calibri"/>
          <w:color w:val="1E293B"/>
          <w:sz w:val="21"/>
          <w:szCs w:val="21"/>
        </w:rPr>
        <w:t xml:space="preserve">Execution policy — annual review, client disclosure</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Adequate rating reflects solid execution monitoring with refinement in fixed income best-execution measurement (less standardised than equities) and RTS 27/28 post-removal monitoring framework.</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Execution outliers investigated within SLA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&lt;90% | Red: &lt;80%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 trades meeting execution benchmark</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&lt;92% | Red: &lt;88%</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Venue analysis coverage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 of material venues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Best-ex policy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review required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Client best-ex complaints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&gt;10/qtr | Red: &gt;20/qtr</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Daily execution monitoring; monthly outlier review; quarterly venue analysis; annual policy review.</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Execution Quality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Monitoring, benchmarking, outlier investigation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Trading Desks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Best-ex compliant order handling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Compliance (2nd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Best-ex framework oversight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Quant Analytics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Benchmark and venue analysis tooling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Periodic best-ex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Strong equities/listed best-ex monitoring. Refinement: fixed income best-ex measurement methodology and venue analysis depth. No material weaknesses.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MT-CTRL-06 · Best Execution Monitoring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2026-05-25T13:58:15.567Z</dcterms:created>
  <dcterms:modified xsi:type="dcterms:W3CDTF">2026-05-25T13:58:15.567Z</dcterms:modified>
</cp:coreProperties>
</file>

<file path=docProps/custom.xml><?xml version="1.0" encoding="utf-8"?>
<Properties xmlns="http://schemas.openxmlformats.org/officeDocument/2006/custom-properties" xmlns:vt="http://schemas.openxmlformats.org/officeDocument/2006/docPropsVTypes"/>
</file>