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2"/>
              <w:left w:val="single" w:color="0F2240" w:sz="24"/>
              <w:bottom w:val="single" w:color="0B7A75" w:sz="12"/>
              <w:right w:val="single" w:color="0B7A75"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w:t>
            </w:r>
          </w:p>
          <w:p>
            <w:pPr>
              <w:spacing w:after="120"/>
            </w:pPr>
            <w:r>
              <w:rPr>
                <w:rFonts w:ascii="Calibri" w:cs="Calibri" w:eastAsia="Calibri" w:hAnsi="Calibri"/>
                <w:b/>
                <w:bCs/>
                <w:color w:val="FFFFFF"/>
                <w:sz w:val="36"/>
                <w:szCs w:val="36"/>
              </w:rPr>
              <w:t xml:space="preserve">Collateral &amp; Settlement Risk Management</w:t>
            </w:r>
          </w:p>
          <w:p>
            <w:pPr>
              <w:spacing w:after="120"/>
            </w:pPr>
            <w:r>
              <w:rPr>
                <w:rFonts w:ascii="Calibri" w:cs="Calibri" w:eastAsia="Calibri" w:hAnsi="Calibri"/>
                <w:color w:val="94BAF7"/>
                <w:sz w:val="22"/>
                <w:szCs w:val="22"/>
              </w:rPr>
              <w:t xml:space="preserve">Markets &amp; Trading  |  MT-CTRL-08</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MT-CTRL-08</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Collateral &amp; Settlement Risk Management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Markets &amp; Trading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D. Yamamoto, Head of Securities Operations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Call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9, 2026 · per RCSA-2026-Q2 schedule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Format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Microsoft Teams — recorded with consent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Chen, Senior Risk Analyst (2nd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D. Yamamoto, Head of Securities Operations (1st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MT-CTRL-08</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Opening — Control Context</w:t>
            </w:r>
          </w:p>
        </w:tc>
      </w:tr>
    </w:tbl>
    <w:p>
      <w:pPr>
        <w:spacing w:after="120"/>
      </w:pPr>
      <w:r>
        <w:rPr>
          <w:rFonts w:ascii="Calibri" w:cs="Calibri" w:eastAsia="Calibri" w:hAnsi="Calibri"/>
          <w:sz w:val="21"/>
          <w:szCs w:val="21"/>
        </w:rPr>
        <w:t xml:space="preserve">S. Chen opened by confirming the scope of the Collateral &amp; Settlement Risk Management control as documented in the Q2 2026 RCSA refresh. D. Yamamoto, Head of Securities Operations confirmed their ownership and team support.</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Discussion — Key Topics</w:t>
            </w:r>
          </w:p>
        </w:tc>
      </w:tr>
    </w:tbl>
    <w:p>
      <w:pPr>
        <w:spacing w:after="120"/>
      </w:pPr>
      <w:r>
        <w:rPr>
          <w:rFonts w:ascii="Calibri" w:cs="Calibri" w:eastAsia="Calibri" w:hAnsi="Calibri"/>
          <w:b/>
          <w:bCs/>
          <w:color w:val="0F2240"/>
          <w:sz w:val="21"/>
          <w:szCs w:val="21"/>
        </w:rPr>
        <w:t xml:space="preserve">1. Settlement Fail Rate</w:t>
      </w:r>
    </w:p>
    <w:p>
      <w:pPr>
        <w:spacing w:after="120"/>
      </w:pPr>
      <w:r>
        <w:rPr>
          <w:rFonts w:ascii="Calibri" w:cs="Calibri" w:eastAsia="Calibri" w:hAnsi="Calibri"/>
          <w:sz w:val="21"/>
          <w:szCs w:val="21"/>
        </w:rPr>
        <w:t xml:space="preserve">D. Yamamoto reported settlement fail rate at 3.2% — within tolerance. Fails predominantly in less liquid and emerging market securities. Pre-matching via CTM significantly reduces fails on developed market flow. EM settlement remains more fail-prone due to market infrastructure differences.</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2. CSDR Penalty Management</w:t>
      </w:r>
    </w:p>
    <w:p>
      <w:pPr>
        <w:spacing w:after="120"/>
      </w:pPr>
      <w:r>
        <w:rPr>
          <w:rFonts w:ascii="Calibri" w:cs="Calibri" w:eastAsia="Calibri" w:hAnsi="Calibri"/>
          <w:sz w:val="21"/>
          <w:szCs w:val="21"/>
        </w:rPr>
        <w:t xml:space="preserve">CSDR cash penalties for settlement fails calculated, allocated to responsible party, and disputed where incorrect. D. Yamamoto noted CSDR penalty management is operationally intensive — penalty volumes high, reconciliation with CSDs complex. Penalty accuracy at 98% but the process is resource-heavy. Automation enhancement in progress.</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3. Buy-In Regime</w:t>
      </w:r>
    </w:p>
    <w:p>
      <w:pPr>
        <w:spacing w:after="120"/>
      </w:pPr>
      <w:r>
        <w:rPr>
          <w:rFonts w:ascii="Calibri" w:cs="Calibri" w:eastAsia="Calibri" w:hAnsi="Calibri"/>
          <w:sz w:val="21"/>
          <w:szCs w:val="21"/>
        </w:rPr>
        <w:t xml:space="preserve">Mandatory buy-in for extended fails per CSDR. Q1: limited buy-in activity (buy-in regime application has evolved). D. Yamamoto confirmed process in place and tested, executed correctly when triggered. Monitoring regulatory developments on buy-in scope.</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4. Settlement Risk Limits</w:t>
      </w:r>
    </w:p>
    <w:p>
      <w:pPr>
        <w:spacing w:after="120"/>
      </w:pPr>
      <w:r>
        <w:rPr>
          <w:rFonts w:ascii="Calibri" w:cs="Calibri" w:eastAsia="Calibri" w:hAnsi="Calibri"/>
          <w:sz w:val="21"/>
          <w:szCs w:val="21"/>
        </w:rPr>
        <w:t xml:space="preserve">Free-of-payment (FoP) and FX settlement risk controlled. CLS used for eligible FX to eliminate principal risk. FoP transactions limited and monitored. D. Yamamoto confirmed FoP exposure within limits. Herstatt (FX settlement) risk minimised via CLS for ~85% of FX volume.</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5. T+1 Readiness</w:t>
      </w:r>
    </w:p>
    <w:p>
      <w:pPr>
        <w:spacing w:after="120"/>
      </w:pPr>
      <w:r>
        <w:rPr>
          <w:rFonts w:ascii="Calibri" w:cs="Calibri" w:eastAsia="Calibri" w:hAnsi="Calibri"/>
          <w:sz w:val="21"/>
          <w:szCs w:val="21"/>
        </w:rPr>
        <w:t xml:space="preserve">For markets moving to T+1 settlement, D. Yamamoto's team has adapted processes — compressed post-trade timeline requires faster affirmation/matching. US T+1 transition managed successfully. Monitoring other markets' T+1 plans. Automation investment supporting compressed timelines.</w:t>
      </w:r>
    </w:p>
    <w:p>
      <w:pPr>
        <w:spacing w:after="100"/>
      </w:pPr>
      <w:r>
        <w:rPr>
          <w:rFonts w:ascii="Calibri" w:cs="Calibri" w:eastAsia="Calibri" w:hAnsi="Calibri"/>
        </w:rPr>
        <w:t xml:space="preserve"/>
      </w:r>
    </w:p>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Control Owner Self-Assessment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960"/>
        <w:gridCol w:w="2000"/>
      </w:tblGrid>
      <w:tr>
        <w:tc>
          <w:tcPr>
            <w:tcW w:type="dxa" w:w="19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Dimension</w:t>
            </w:r>
          </w:p>
        </w:tc>
        <w:tc>
          <w:tcPr>
            <w:tcW w:type="dxa" w:w="15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Owner Rating</w:t>
            </w:r>
          </w:p>
        </w:tc>
        <w:tc>
          <w:tcPr>
            <w:tcW w:type="dxa" w:w="39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Rationale</w:t>
            </w:r>
          </w:p>
        </w:tc>
        <w:tc>
          <w:tcPr>
            <w:tcW w:type="dxa" w:w="20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Notes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Design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DvP, CLS, pre-matching, CSDR framework robust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Operating Effectiveness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3.2% fail rate; EM fails + CSDR efficiency focus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Documentation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Settlement procedures documented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CSDR Compliance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98% penalty accuracy; process resource-heavy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Automation in progress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Overall Self-Assessment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 settlement; EM fails + CSDR efficiency the focus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Action Items from Interview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Action</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Owner / Due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ACT-MT08-1: Reduce emerging market settlement fail rates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 Yamamoto / Q3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ACT-MT08-2: Automate CSDR penalty reconciliation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Securities Ops / Q3 2026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ACT-MT08-3: T+1 readiness for additional markets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 Yamamoto / ongoing</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8"/>
              <w:left w:val="single" w:color="0B7A75" w:sz="8"/>
              <w:bottom w:val="single" w:color="0B7A75" w:sz="8"/>
              <w:right w:val="single" w:color="0B7A75" w:sz="8"/>
            </w:tcBorders>
            <w:shd w:fill="E0F5F4"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Interview concluded. Control owner expert in securities settlement. Recommended residual risk rating: ADEQUATE. Strong settlement operations. EM fails and CSDR efficiency the refinement areas. No P1 actions.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MT-CTRL-08 · Collateral &amp; Settlement Risk Management  </w:t>
          </w:r>
          <w:r>
            <w:rPr>
              <w:rFonts w:ascii="Calibri" w:cs="Calibri" w:eastAsia="Calibri" w:hAnsi="Calibri"/>
              <w:color w:val="64748B"/>
              <w:sz w:val="18"/>
              <w:szCs w:val="18"/>
            </w:rPr>
            <w:t xml:space="preserve">| Control Owner Interview</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2026-05-25T13:58:15.878Z</dcterms:created>
  <dcterms:modified xsi:type="dcterms:W3CDTF">2026-05-25T13:58:15.878Z</dcterms:modified>
</cp:coreProperties>
</file>

<file path=docProps/custom.xml><?xml version="1.0" encoding="utf-8"?>
<Properties xmlns="http://schemas.openxmlformats.org/officeDocument/2006/custom-properties" xmlns:vt="http://schemas.openxmlformats.org/officeDocument/2006/docPropsVTypes"/>
</file>