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12"/>
              <w:left w:val="single" w:color="0F2240" w:sz="24"/>
              <w:bottom w:val="single" w:color="1E4FA8" w:sz="12"/>
              <w:right w:val="single" w:color="1E4FA8"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OWNER INTERVIEW — CALL NARRATIVE</w:t>
            </w:r>
          </w:p>
          <w:p>
            <w:pPr>
              <w:spacing w:after="120"/>
            </w:pPr>
            <w:r>
              <w:rPr>
                <w:rFonts w:ascii="Calibri" w:cs="Calibri" w:eastAsia="Calibri" w:hAnsi="Calibri"/>
                <w:b/>
                <w:bCs/>
                <w:color w:val="FFFFFF"/>
                <w:sz w:val="38"/>
                <w:szCs w:val="38"/>
              </w:rPr>
              <w:t xml:space="preserve">Exception Reporting &amp; Variance Analysis</w:t>
            </w:r>
          </w:p>
          <w:p>
            <w:pPr>
              <w:spacing w:after="120"/>
            </w:pPr>
            <w:r>
              <w:rPr>
                <w:rFonts w:ascii="Calibri" w:cs="Calibri" w:eastAsia="Calibri" w:hAnsi="Calibri"/>
                <w:color w:val="94BAF7"/>
                <w:sz w:val="22"/>
                <w:szCs w:val="22"/>
              </w:rPr>
              <w:t xml:space="preserve">Retail Banking Division  |  RB-CTRL-01</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RB-CTRL-01</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Exception Reporting &amp; Variance Analysis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Retail Banking Division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Owner Interview — Call Narrative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 AI Agent (GPT-4o via Copilot Studio) | Risk &amp; Controls Team</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08-May-2026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Confidential — Internal Use Only</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RCSA-2026-RB-Q2 | ServiceNow / MetricStream</w:t>
            </w:r>
          </w:p>
        </w:tc>
      </w:tr>
    </w:tbl>
    <w:p>
      <w:pPr>
        <w:spacing w:after="100"/>
      </w:pPr>
      <w:r>
        <w:rPr>
          <w:rFonts w:ascii="Calibri" w:cs="Calibri" w:eastAsia="Calibri" w:hAnsi="Calibri"/>
        </w:rPr>
        <w:t xml:space="preserve"/>
      </w:r>
    </w:p>
    <w:p>
      <w:pPr>
        <w:spacing w:after="1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240" w:sz="1"/>
              <w:left w:val="single" w:color="0F2240" w:sz="1"/>
              <w:bottom w:val="single" w:color="0F2240" w:sz="1"/>
              <w:right w:val="single" w:color="0F2240" w:sz="1"/>
            </w:tcBorders>
            <w:shd w:fill="0F2240" w:val="clear"/>
            <w:tcMar>
              <w:top w:type="dxa" w:w="140"/>
              <w:left w:type="dxa" w:w="200"/>
              <w:bottom w:type="dxa" w:w="140"/>
              <w:right w:type="dxa" w:w="200"/>
            </w:tcMar>
          </w:tcPr>
          <w:p>
            <w:pPr>
              <w:spacing w:after="120"/>
            </w:pPr>
            <w:r>
              <w:rPr>
                <w:rFonts w:ascii="Calibri" w:cs="Calibri" w:eastAsia="Calibri" w:hAnsi="Calibri"/>
                <w:b/>
                <w:bCs/>
                <w:color w:val="FFFFFF"/>
                <w:sz w:val="26"/>
                <w:szCs w:val="26"/>
              </w:rPr>
              <w:t xml:space="preserve">Session Details</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Owner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J. Martinez, SVP Retail Banking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Interviewer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 AI Agent — Copilot Studio (GPT-4o)</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Session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08-May-2026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Session Time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09:14–09:47 EST (33 minutes)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Mode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Microsoft Teams — AI-facilitated structured interview</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RCSA-2026-RB-Q2 | ACT-002</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Purpose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Annual RCSA control owner interview — Exception Reporting &amp; Variance Analysis (RB-CTRL-01)</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240" w:sz="1"/>
              <w:left w:val="single" w:color="0F2240" w:sz="1"/>
              <w:bottom w:val="single" w:color="0F2240" w:sz="1"/>
              <w:right w:val="single" w:color="0F2240" w:sz="1"/>
            </w:tcBorders>
            <w:shd w:fill="0F2240" w:val="clear"/>
            <w:tcMar>
              <w:top w:type="dxa" w:w="140"/>
              <w:left w:type="dxa" w:w="200"/>
              <w:bottom w:type="dxa" w:w="140"/>
              <w:right w:type="dxa" w:w="200"/>
            </w:tcMar>
          </w:tcPr>
          <w:p>
            <w:pPr>
              <w:spacing w:after="120"/>
            </w:pPr>
            <w:r>
              <w:rPr>
                <w:rFonts w:ascii="Calibri" w:cs="Calibri" w:eastAsia="Calibri" w:hAnsi="Calibri"/>
                <w:b/>
                <w:bCs/>
                <w:color w:val="FFFFFF"/>
                <w:sz w:val="26"/>
                <w:szCs w:val="26"/>
              </w:rPr>
              <w:t xml:space="preserve">Interview Transcript — AI Agent Facilitated</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Opening</w:t>
            </w:r>
          </w:p>
        </w:tc>
      </w:tr>
    </w:tbl>
    <w:p>
      <w:pPr>
        <w:spacing w:after="60"/>
      </w:pPr>
      <w:r>
        <w:rPr>
          <w:rFonts w:ascii="Calibri" w:cs="Calibri" w:eastAsia="Calibri" w:hAnsi="Calibri"/>
        </w:rPr>
        <w:t xml:space="preserve"/>
      </w:r>
    </w:p>
    <w:p>
      <w:pPr>
        <w:spacing w:after="120"/>
      </w:pPr>
      <w:r>
        <w:rPr>
          <w:rFonts w:ascii="Calibri" w:cs="Calibri" w:eastAsia="Calibri" w:hAnsi="Calibri"/>
          <w:b/>
          <w:bCs/>
          <w:color w:val="1E4FA8"/>
          <w:sz w:val="20"/>
          <w:szCs w:val="20"/>
        </w:rPr>
        <w:t xml:space="preserve">RCSA Agent: </w:t>
      </w:r>
      <w:r>
        <w:rPr>
          <w:rFonts w:ascii="Calibri" w:cs="Calibri" w:eastAsia="Calibri" w:hAnsi="Calibri"/>
          <w:sz w:val="20"/>
          <w:szCs w:val="20"/>
        </w:rPr>
        <w:t xml:space="preserve">Good morning Mr Martinez. I'm conducting the structured control assessment for RB-CTRL-01 — Exception Reporting &amp; Variance Analysis. I have pre-loaded the prior year's control documentation, the Q1 2026 internal audit findings, and the March 2026 incident report INC-2026-0312. Shall we begin?</w:t>
      </w:r>
    </w:p>
    <w:p>
      <w:pPr>
        <w:spacing w:after="120"/>
      </w:pPr>
      <w:r>
        <w:rPr>
          <w:rFonts w:ascii="Calibri" w:cs="Calibri" w:eastAsia="Calibri" w:hAnsi="Calibri"/>
          <w:b/>
          <w:bCs/>
          <w:color w:val="0F2240"/>
          <w:sz w:val="20"/>
          <w:szCs w:val="20"/>
        </w:rPr>
        <w:t xml:space="preserve">J. Martinez: </w:t>
      </w:r>
      <w:r>
        <w:rPr>
          <w:rFonts w:ascii="Calibri" w:cs="Calibri" w:eastAsia="Calibri" w:hAnsi="Calibri"/>
          <w:sz w:val="20"/>
          <w:szCs w:val="20"/>
        </w:rPr>
        <w:t xml:space="preserve">Yes, let's go ahead.</w:t>
      </w:r>
    </w:p>
    <w:p>
      <w:pPr>
        <w:spacing w:after="1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Section A — Control Design &amp; Operation</w:t>
            </w:r>
          </w:p>
        </w:tc>
      </w:tr>
    </w:tbl>
    <w:p>
      <w:pPr>
        <w:spacing w:after="60"/>
      </w:pPr>
      <w:r>
        <w:rPr>
          <w:rFonts w:ascii="Calibri" w:cs="Calibri" w:eastAsia="Calibri" w:hAnsi="Calibri"/>
        </w:rPr>
        <w:t xml:space="preserve"/>
      </w:r>
    </w:p>
    <w:p>
      <w:pPr>
        <w:spacing w:after="120"/>
      </w:pPr>
      <w:r>
        <w:rPr>
          <w:rFonts w:ascii="Calibri" w:cs="Calibri" w:eastAsia="Calibri" w:hAnsi="Calibri"/>
          <w:b/>
          <w:bCs/>
          <w:color w:val="1E4FA8"/>
          <w:sz w:val="20"/>
          <w:szCs w:val="20"/>
        </w:rPr>
        <w:t xml:space="preserve">RCSA Agent: </w:t>
      </w:r>
      <w:r>
        <w:rPr>
          <w:rFonts w:ascii="Calibri" w:cs="Calibri" w:eastAsia="Calibri" w:hAnsi="Calibri"/>
          <w:sz w:val="20"/>
          <w:szCs w:val="20"/>
        </w:rPr>
        <w:t xml:space="preserve">Can you describe how the Exception Reporting control currently operates — specifically the batch cycle timing and what happens when a variance is flagged?</w:t>
      </w:r>
    </w:p>
    <w:p>
      <w:pPr>
        <w:spacing w:after="40"/>
      </w:pPr>
      <w:r>
        <w:rPr>
          <w:rFonts w:ascii="Calibri" w:cs="Calibri" w:eastAsia="Calibri" w:hAnsi="Calibri"/>
        </w:rPr>
        <w:t xml:space="preserve"/>
      </w:r>
    </w:p>
    <w:p>
      <w:pPr>
        <w:spacing w:after="120"/>
      </w:pPr>
      <w:r>
        <w:rPr>
          <w:rFonts w:ascii="Calibri" w:cs="Calibri" w:eastAsia="Calibri" w:hAnsi="Calibri"/>
          <w:b/>
          <w:bCs/>
          <w:color w:val="0F2240"/>
          <w:sz w:val="20"/>
          <w:szCs w:val="20"/>
        </w:rPr>
        <w:t xml:space="preserve">J. Martinez: </w:t>
      </w:r>
      <w:r>
        <w:rPr>
          <w:rFonts w:ascii="Calibri" w:cs="Calibri" w:eastAsia="Calibri" w:hAnsi="Calibri"/>
          <w:sz w:val="20"/>
          <w:szCs w:val="20"/>
        </w:rPr>
        <w:t xml:space="preserve">The engine runs at 11pm EST every night. It pulls all applications processed during the business day, calls the three bureaus — Equifax, Experian, TransUnion — and computes the variance against what the applicant submitted. Anything above 15% income variance or 5 percentage points on DTI gets queued in ServiceNow for manual review. The credit analyst has to clear it before disbursement can proceed.</w:t>
      </w:r>
    </w:p>
    <w:p>
      <w:pPr>
        <w:spacing w:after="60"/>
      </w:pPr>
      <w:r>
        <w:rPr>
          <w:rFonts w:ascii="Calibri" w:cs="Calibri" w:eastAsia="Calibri" w:hAnsi="Calibri"/>
        </w:rPr>
        <w:t xml:space="preserve"/>
      </w:r>
    </w:p>
    <w:p>
      <w:pPr>
        <w:spacing w:after="120"/>
      </w:pPr>
      <w:r>
        <w:rPr>
          <w:rFonts w:ascii="Calibri" w:cs="Calibri" w:eastAsia="Calibri" w:hAnsi="Calibri"/>
          <w:b/>
          <w:bCs/>
          <w:color w:val="1E4FA8"/>
          <w:sz w:val="20"/>
          <w:szCs w:val="20"/>
        </w:rPr>
        <w:t xml:space="preserve">RCSA Agent: </w:t>
      </w:r>
      <w:r>
        <w:rPr>
          <w:rFonts w:ascii="Calibri" w:cs="Calibri" w:eastAsia="Calibri" w:hAnsi="Calibri"/>
          <w:sz w:val="20"/>
          <w:szCs w:val="20"/>
        </w:rPr>
        <w:t xml:space="preserve">The 11pm batch creates an 18-hour intraday window where applications processed in the morning won't be checked until the following night. Has there been any instance during FY2026 where a loan was disbursed before the overnight check ran on an exception-worthy application?</w:t>
      </w:r>
    </w:p>
    <w:p>
      <w:pPr>
        <w:spacing w:after="40"/>
      </w:pPr>
      <w:r>
        <w:rPr>
          <w:rFonts w:ascii="Calibri" w:cs="Calibri" w:eastAsia="Calibri" w:hAnsi="Calibri"/>
        </w:rPr>
        <w:t xml:space="preserve"/>
      </w:r>
    </w:p>
    <w:p>
      <w:pPr>
        <w:spacing w:after="120"/>
      </w:pPr>
      <w:r>
        <w:rPr>
          <w:rFonts w:ascii="Calibri" w:cs="Calibri" w:eastAsia="Calibri" w:hAnsi="Calibri"/>
          <w:b/>
          <w:bCs/>
          <w:color w:val="0F2240"/>
          <w:sz w:val="20"/>
          <w:szCs w:val="20"/>
        </w:rPr>
        <w:t xml:space="preserve">J. Martinez: </w:t>
      </w:r>
      <w:r>
        <w:rPr>
          <w:rFonts w:ascii="Calibri" w:cs="Calibri" w:eastAsia="Calibri" w:hAnsi="Calibri"/>
          <w:sz w:val="20"/>
          <w:szCs w:val="20"/>
        </w:rPr>
        <w:t xml:space="preserve">Not that we're aware of — there's a manual hold in the LOS that prevents same-day disbursement for loans above $150,000. For loans below that threshold, technically it's possible. We haven't had a confirmed case but the gap exists and we've acknowledged it in the P2 action.</w:t>
      </w:r>
    </w:p>
    <w:p>
      <w:pPr>
        <w:spacing w:after="60"/>
      </w:pPr>
      <w:r>
        <w:rPr>
          <w:rFonts w:ascii="Calibri" w:cs="Calibri" w:eastAsia="Calibri" w:hAnsi="Calibri"/>
        </w:rPr>
        <w:t xml:space="preserve"/>
      </w:r>
    </w:p>
    <w:p>
      <w:pPr>
        <w:spacing w:after="120"/>
      </w:pPr>
      <w:r>
        <w:rPr>
          <w:rFonts w:ascii="Calibri" w:cs="Calibri" w:eastAsia="Calibri" w:hAnsi="Calibri"/>
          <w:b/>
          <w:bCs/>
          <w:color w:val="1E4FA8"/>
          <w:sz w:val="20"/>
          <w:szCs w:val="20"/>
        </w:rPr>
        <w:t xml:space="preserve">RCSA Agent: </w:t>
      </w:r>
      <w:r>
        <w:rPr>
          <w:rFonts w:ascii="Calibri" w:cs="Calibri" w:eastAsia="Calibri" w:hAnsi="Calibri"/>
          <w:sz w:val="20"/>
          <w:szCs w:val="20"/>
        </w:rPr>
        <w:t xml:space="preserve">The prior audit noted that the variance engine was re-validated on March 24th following the INC-2026-0312 incident — a patch had broken the bureau API integration for 6 hours. Can you confirm the resolution and whether the patch regression testing process has been strengthened?</w:t>
      </w:r>
    </w:p>
    <w:p>
      <w:pPr>
        <w:spacing w:after="40"/>
      </w:pPr>
      <w:r>
        <w:rPr>
          <w:rFonts w:ascii="Calibri" w:cs="Calibri" w:eastAsia="Calibri" w:hAnsi="Calibri"/>
        </w:rPr>
        <w:t xml:space="preserve"/>
      </w:r>
    </w:p>
    <w:p>
      <w:pPr>
        <w:spacing w:after="120"/>
      </w:pPr>
      <w:r>
        <w:rPr>
          <w:rFonts w:ascii="Calibri" w:cs="Calibri" w:eastAsia="Calibri" w:hAnsi="Calibri"/>
          <w:b/>
          <w:bCs/>
          <w:color w:val="0F2240"/>
          <w:sz w:val="20"/>
          <w:szCs w:val="20"/>
        </w:rPr>
        <w:t xml:space="preserve">J. Martinez: </w:t>
      </w:r>
      <w:r>
        <w:rPr>
          <w:rFonts w:ascii="Calibri" w:cs="Calibri" w:eastAsia="Calibri" w:hAnsi="Calibri"/>
          <w:sz w:val="20"/>
          <w:szCs w:val="20"/>
        </w:rPr>
        <w:t xml:space="preserve">Yes, confirmed. The patch on March 22nd accidentally overrode the bureau API endpoint configuration. The engine ran against a stale data cache for 6 hours. We caught it in the morning when the exception queue came back empty — which was suspicious. The fix was deployed within 24 hours. Since then, every patch deployment now triggers an automatic regression test that validates the bureau API connection before the batch runs.</w:t>
      </w:r>
    </w:p>
    <w:p>
      <w:pPr>
        <w:spacing w:after="1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8"/>
              <w:bottom w:val="single" w:color="B45309" w:sz="4"/>
              <w:right w:val="single" w:color="B45309" w:sz="4"/>
            </w:tcBorders>
            <w:shd w:fill="FEF3C7" w:val="clear"/>
            <w:tcMar>
              <w:top w:type="dxa" w:w="100"/>
              <w:left w:type="dxa" w:w="160"/>
              <w:bottom w:type="dxa" w:w="100"/>
              <w:right w:type="dxa" w:w="160"/>
            </w:tcMar>
          </w:tcPr>
          <w:p>
            <w:pPr>
              <w:spacing w:after="120"/>
            </w:pPr>
            <w:r>
              <w:rPr>
                <w:rFonts w:ascii="Calibri" w:cs="Calibri" w:eastAsia="Calibri" w:hAnsi="Calibri"/>
                <w:b/>
                <w:bCs/>
                <w:color w:val="B45309"/>
                <w:sz w:val="20"/>
                <w:szCs w:val="20"/>
              </w:rPr>
              <w:t xml:space="preserve">Section B — Control Effectiveness Assessment</w:t>
            </w:r>
          </w:p>
        </w:tc>
      </w:tr>
    </w:tbl>
    <w:p>
      <w:pPr>
        <w:spacing w:after="60"/>
      </w:pPr>
      <w:r>
        <w:rPr>
          <w:rFonts w:ascii="Calibri" w:cs="Calibri" w:eastAsia="Calibri" w:hAnsi="Calibri"/>
        </w:rPr>
        <w:t xml:space="preserve"/>
      </w:r>
    </w:p>
    <w:p>
      <w:pPr>
        <w:spacing w:after="120"/>
      </w:pPr>
      <w:r>
        <w:rPr>
          <w:rFonts w:ascii="Calibri" w:cs="Calibri" w:eastAsia="Calibri" w:hAnsi="Calibri"/>
          <w:b/>
          <w:bCs/>
          <w:color w:val="1E4FA8"/>
          <w:sz w:val="20"/>
          <w:szCs w:val="20"/>
        </w:rPr>
        <w:t xml:space="preserve">RCSA Agent: </w:t>
      </w:r>
      <w:r>
        <w:rPr>
          <w:rFonts w:ascii="Calibri" w:cs="Calibri" w:eastAsia="Calibri" w:hAnsi="Calibri"/>
          <w:sz w:val="20"/>
          <w:szCs w:val="20"/>
        </w:rPr>
        <w:t xml:space="preserve">On a scale of Strong / Adequate / Weak / Ineffective — how would you rate the current effectiveness of this control, and what is the single biggest improvement needed?</w:t>
      </w:r>
    </w:p>
    <w:p>
      <w:pPr>
        <w:spacing w:after="40"/>
      </w:pPr>
      <w:r>
        <w:rPr>
          <w:rFonts w:ascii="Calibri" w:cs="Calibri" w:eastAsia="Calibri" w:hAnsi="Calibri"/>
        </w:rPr>
        <w:t xml:space="preserve"/>
      </w:r>
    </w:p>
    <w:p>
      <w:pPr>
        <w:spacing w:after="120"/>
      </w:pPr>
      <w:r>
        <w:rPr>
          <w:rFonts w:ascii="Calibri" w:cs="Calibri" w:eastAsia="Calibri" w:hAnsi="Calibri"/>
          <w:b/>
          <w:bCs/>
          <w:color w:val="0F2240"/>
          <w:sz w:val="20"/>
          <w:szCs w:val="20"/>
        </w:rPr>
        <w:t xml:space="preserve">J. Martinez: </w:t>
      </w:r>
      <w:r>
        <w:rPr>
          <w:rFonts w:ascii="Calibri" w:cs="Calibri" w:eastAsia="Calibri" w:hAnsi="Calibri"/>
          <w:sz w:val="20"/>
          <w:szCs w:val="20"/>
        </w:rPr>
        <w:t xml:space="preserve">Adequate — but only because the $150K disbursement hold partially mitigates the intraday gap for high-value loans. The biggest improvement is moving to real-time CCM. We shouldn't be running an 18-hour lag on a control that's designed to catch fraud and data errors. The P2 action targets 60 days to upgrade — we're hoping to get the sprint allocated in the next planning cycle.</w:t>
      </w:r>
    </w:p>
    <w:p>
      <w:pPr>
        <w:spacing w:after="60"/>
      </w:pPr>
      <w:r>
        <w:rPr>
          <w:rFonts w:ascii="Calibri" w:cs="Calibri" w:eastAsia="Calibri" w:hAnsi="Calibri"/>
        </w:rPr>
        <w:t xml:space="preserve"/>
      </w:r>
    </w:p>
    <w:p>
      <w:pPr>
        <w:spacing w:after="120"/>
      </w:pPr>
      <w:r>
        <w:rPr>
          <w:rFonts w:ascii="Calibri" w:cs="Calibri" w:eastAsia="Calibri" w:hAnsi="Calibri"/>
          <w:b/>
          <w:bCs/>
          <w:color w:val="1E4FA8"/>
          <w:sz w:val="20"/>
          <w:szCs w:val="20"/>
        </w:rPr>
        <w:t xml:space="preserve">RCSA Agent: </w:t>
      </w:r>
      <w:r>
        <w:rPr>
          <w:rFonts w:ascii="Calibri" w:cs="Calibri" w:eastAsia="Calibri" w:hAnsi="Calibri"/>
          <w:sz w:val="20"/>
          <w:szCs w:val="20"/>
        </w:rPr>
        <w:t xml:space="preserve">Final question: in the last 12 months, has this control identified any exceptions that, if missed, would have resulted in a credit loss or regulatory breach?</w:t>
      </w:r>
    </w:p>
    <w:p>
      <w:pPr>
        <w:spacing w:after="40"/>
      </w:pPr>
      <w:r>
        <w:rPr>
          <w:rFonts w:ascii="Calibri" w:cs="Calibri" w:eastAsia="Calibri" w:hAnsi="Calibri"/>
        </w:rPr>
        <w:t xml:space="preserve"/>
      </w:r>
    </w:p>
    <w:p>
      <w:pPr>
        <w:spacing w:after="120"/>
      </w:pPr>
      <w:r>
        <w:rPr>
          <w:rFonts w:ascii="Calibri" w:cs="Calibri" w:eastAsia="Calibri" w:hAnsi="Calibri"/>
          <w:b/>
          <w:bCs/>
          <w:color w:val="0F2240"/>
          <w:sz w:val="20"/>
          <w:szCs w:val="20"/>
        </w:rPr>
        <w:t xml:space="preserve">J. Martinez: </w:t>
      </w:r>
      <w:r>
        <w:rPr>
          <w:rFonts w:ascii="Calibri" w:cs="Calibri" w:eastAsia="Calibri" w:hAnsi="Calibri"/>
          <w:sz w:val="20"/>
          <w:szCs w:val="20"/>
        </w:rPr>
        <w:t xml:space="preserve">Yes — in September 2025 we caught a case where an applicant had overstated income by $42,000 annually — a 38% variance. The loan was for $280,000. Without this control, that application would have been approved on incorrect data. It's the clearest example of the control working as designed.</w:t>
      </w:r>
    </w:p>
    <w:p>
      <w:pPr>
        <w:spacing w:after="1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240" w:sz="1"/>
              <w:left w:val="single" w:color="0F2240" w:sz="1"/>
              <w:bottom w:val="single" w:color="0F2240" w:sz="1"/>
              <w:right w:val="single" w:color="0F2240" w:sz="1"/>
            </w:tcBorders>
            <w:shd w:fill="0F2240" w:val="clear"/>
            <w:tcMar>
              <w:top w:type="dxa" w:w="140"/>
              <w:left w:type="dxa" w:w="200"/>
              <w:bottom w:type="dxa" w:w="140"/>
              <w:right w:type="dxa" w:w="200"/>
            </w:tcMar>
          </w:tcPr>
          <w:p>
            <w:pPr>
              <w:spacing w:after="120"/>
            </w:pPr>
            <w:r>
              <w:rPr>
                <w:rFonts w:ascii="Calibri" w:cs="Calibri" w:eastAsia="Calibri" w:hAnsi="Calibri"/>
                <w:b/>
                <w:bCs/>
                <w:color w:val="FFFFFF"/>
                <w:sz w:val="26"/>
                <w:szCs w:val="26"/>
              </w:rPr>
              <w:t xml:space="preserve">AI Agent Summary — Key Findings from Interview</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8"/>
              <w:left w:val="single" w:color="1E4FA8" w:sz="8"/>
              <w:bottom w:val="single" w:color="1E4FA8" w:sz="8"/>
              <w:right w:val="single" w:color="1E4FA8" w:sz="8"/>
            </w:tcBorders>
            <w:shd w:fill="EBF1FC"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Control Assessment: ADEQUATE. The control is operationally sound and has demonstrated value in catching material data misrepresentation (Sep 2025 case — 38% income variance, $280K loan). The primary weakness is the overnight batch cycle creating an 18-hour detection lag for sub-$150K loans. This is acknowledged and tracked as P2 action ACT-002. Post-INC-2026-0312, regression testing has been strengthened. No evidence of disbursements proceeding on undetected exceptions during FY2026. Recommend upgrade to real-time CCM within 60 days as planned.</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8"/>
              <w:bottom w:val="single" w:color="B91C1C" w:sz="4"/>
              <w:right w:val="single" w:color="B91C1C" w:sz="4"/>
            </w:tcBorders>
            <w:shd w:fill="FEE2E2" w:val="clear"/>
            <w:tcMar>
              <w:top w:type="dxa" w:w="100"/>
              <w:left w:type="dxa" w:w="160"/>
              <w:bottom w:type="dxa" w:w="100"/>
              <w:right w:type="dxa" w:w="160"/>
            </w:tcMar>
          </w:tcPr>
          <w:p>
            <w:pPr>
              <w:spacing w:after="120"/>
            </w:pPr>
            <w:r>
              <w:rPr>
                <w:rFonts w:ascii="Calibri" w:cs="Calibri" w:eastAsia="Calibri" w:hAnsi="Calibri"/>
                <w:b/>
                <w:bCs/>
                <w:color w:val="B91C1C"/>
                <w:sz w:val="20"/>
                <w:szCs w:val="20"/>
              </w:rPr>
              <w:t xml:space="preserve">Identified Risks</w:t>
            </w:r>
          </w:p>
        </w:tc>
      </w:tr>
    </w:tbl>
    <w:p>
      <w:pPr>
        <w:spacing w:after="60"/>
      </w:pPr>
      <w:r>
        <w:rPr>
          <w:rFonts w:ascii="Calibri" w:cs="Calibri" w:eastAsia="Calibri" w:hAnsi="Calibri"/>
        </w:rPr>
        <w:t xml:space="preserve"/>
      </w:r>
    </w:p>
    <w:p>
      <w:pPr>
        <w:pStyle w:val="ListParagraph"/>
        <w:numPr>
          <w:ilvl w:val="0"/>
          <w:numId w:val="2"/>
        </w:numPr>
        <w:spacing w:after="80"/>
      </w:pPr>
      <w:r>
        <w:rPr>
          <w:rFonts w:ascii="Calibri" w:cs="Calibri" w:eastAsia="Calibri" w:hAnsi="Calibri"/>
          <w:color w:val="1E293B"/>
          <w:sz w:val="21"/>
          <w:szCs w:val="21"/>
        </w:rPr>
        <w:t xml:space="preserve">MEDIUM — 18-hour intraday detection gap for sub-$150K loans (mitigated by disbursement hold for &gt;$150K)</w:t>
      </w:r>
    </w:p>
    <w:p>
      <w:pPr>
        <w:pStyle w:val="ListParagraph"/>
        <w:numPr>
          <w:ilvl w:val="0"/>
          <w:numId w:val="2"/>
        </w:numPr>
        <w:spacing w:after="80"/>
      </w:pPr>
      <w:r>
        <w:rPr>
          <w:rFonts w:ascii="Calibri" w:cs="Calibri" w:eastAsia="Calibri" w:hAnsi="Calibri"/>
          <w:color w:val="1E293B"/>
          <w:sz w:val="21"/>
          <w:szCs w:val="21"/>
        </w:rPr>
        <w:t xml:space="preserve">LOW — Bureau API dependency — single point of failure partially addressed by post-INC-2026-0312 regression test enhancement</w:t>
      </w:r>
    </w:p>
    <w:p>
      <w:pPr>
        <w:pStyle w:val="ListParagraph"/>
        <w:numPr>
          <w:ilvl w:val="0"/>
          <w:numId w:val="2"/>
        </w:numPr>
        <w:spacing w:after="80"/>
      </w:pPr>
      <w:r>
        <w:rPr>
          <w:rFonts w:ascii="Calibri" w:cs="Calibri" w:eastAsia="Calibri" w:hAnsi="Calibri"/>
          <w:color w:val="1E293B"/>
          <w:sz w:val="21"/>
          <w:szCs w:val="21"/>
        </w:rPr>
        <w:t xml:space="preserve">LOW — Manual review capacity constraint — ServiceNow queue could bottleneck if exception volume spikes</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RB-CTRL-01  </w:t>
          </w:r>
          <w:r>
            <w:rPr>
              <w:rFonts w:ascii="Calibri" w:cs="Calibri" w:eastAsia="Calibri" w:hAnsi="Calibri"/>
              <w:color w:val="64748B"/>
              <w:sz w:val="18"/>
              <w:szCs w:val="18"/>
            </w:rPr>
            <w:t xml:space="preserve">| Control Owner Interview Narrative</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Retail Bank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2026-05-12T07:49:03.506Z</dcterms:created>
  <dcterms:modified xsi:type="dcterms:W3CDTF">2026-05-12T07:49:03.506Z</dcterms:modified>
</cp:coreProperties>
</file>

<file path=docProps/custom.xml><?xml version="1.0" encoding="utf-8"?>
<Properties xmlns="http://schemas.openxmlformats.org/officeDocument/2006/custom-properties" xmlns:vt="http://schemas.openxmlformats.org/officeDocument/2006/docPropsVTypes"/>
</file>