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2"/>
              <w:left w:val="single" w:color="0F2240" w:sz="24"/>
              <w:bottom w:val="single" w:color="6D28D9" w:sz="12"/>
              <w:right w:val="single" w:color="6D28D9" w:sz="4"/>
            </w:tcBorders>
            <w:shd w:fill="0F2240" w:val="clear"/>
            <w:tcMar>
              <w:top w:type="dxa" w:w="360"/>
              <w:left w:type="dxa" w:w="400"/>
              <w:bottom w:type="dxa" w:w="360"/>
              <w:right w:type="dxa" w:w="400"/>
            </w:tcMar>
          </w:tcPr>
          <w:p>
            <w:pPr>
              <w:spacing w:after="120"/>
            </w:pPr>
            <w:r>
              <w:rPr>
                <w:rFonts w:ascii="Calibri" w:cs="Calibri" w:eastAsia="Calibri" w:hAnsi="Calibri"/>
                <w:b/>
                <w:bCs/>
                <w:caps/>
                <w:color w:val="94BAF7"/>
                <w:sz w:val="18"/>
                <w:szCs w:val="18"/>
              </w:rPr>
              <w:t xml:space="preserve">CONTROL NARRATIVE</w:t>
            </w:r>
          </w:p>
          <w:p>
            <w:pPr>
              <w:spacing w:after="120"/>
            </w:pPr>
            <w:r>
              <w:rPr>
                <w:rFonts w:ascii="Calibri" w:cs="Calibri" w:eastAsia="Calibri" w:hAnsi="Calibri"/>
                <w:b/>
                <w:bCs/>
                <w:color w:val="FFFFFF"/>
                <w:sz w:val="38"/>
                <w:szCs w:val="38"/>
              </w:rPr>
              <w:t xml:space="preserve">KYC Documentation Review — Branch Network</w:t>
            </w:r>
          </w:p>
          <w:p>
            <w:pPr>
              <w:spacing w:after="120"/>
            </w:pPr>
            <w:r>
              <w:rPr>
                <w:rFonts w:ascii="Calibri" w:cs="Calibri" w:eastAsia="Calibri" w:hAnsi="Calibri"/>
                <w:color w:val="94BAF7"/>
                <w:sz w:val="22"/>
                <w:szCs w:val="22"/>
              </w:rPr>
              <w:t xml:space="preserve">Retail Banking Division  |  RB-CTRL-04</w:t>
            </w:r>
          </w:p>
        </w:tc>
      </w:tr>
    </w:tbl>
    <w:p>
      <w:pPr>
        <w:spacing w:after="1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ID</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RB-CTRL-04</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Name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KYC Documentation Review — Branch Network</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Business Division</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Retail Banking Division</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Document Type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Control Narrative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Prepared By</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Chief Compliance Officer | Branch Operations</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Review Date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30-Apr-2026</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Classification</w:t>
            </w:r>
          </w:p>
        </w:tc>
        <w:tc>
          <w:tcPr>
            <w:tcW w:type="dxa" w:w="6760"/>
            <w:tcBorders>
              <w:top w:val="single" w:color="CBD5E1" w:sz="1"/>
              <w:left w:val="single" w:color="CBD5E1" w:sz="1"/>
              <w:bottom w:val="single" w:color="CBD5E1" w:sz="1"/>
              <w:right w:val="single" w:color="CBD5E1" w:sz="1"/>
            </w:tcBorders>
            <w:shd w:fill="EBF1FC" w:val="clear"/>
            <w:tcMar>
              <w:top w:type="dxa" w:w="80"/>
              <w:left w:type="dxa" w:w="140"/>
              <w:bottom w:type="dxa" w:w="80"/>
              <w:right w:type="dxa" w:w="140"/>
            </w:tcMar>
          </w:tcPr>
          <w:p>
            <w:pPr>
              <w:spacing w:after="120"/>
            </w:pPr>
            <w:r>
              <w:rPr>
                <w:rFonts w:ascii="Calibri" w:cs="Calibri" w:eastAsia="Calibri" w:hAnsi="Calibri"/>
                <w:b/>
                <w:bCs/>
                <w:color w:val="1E4FA8"/>
                <w:sz w:val="20"/>
                <w:szCs w:val="20"/>
              </w:rPr>
              <w:t xml:space="preserve">Confidential — Internal Use Only</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GRC Reference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RCSA-2026-RB-Q2 | ServiceNow / MetricStream</w:t>
            </w:r>
          </w:p>
        </w:tc>
      </w:tr>
    </w:tbl>
    <w:p>
      <w:pPr>
        <w:spacing w:after="100"/>
      </w:pPr>
      <w:r>
        <w:rPr>
          <w:rFonts w:ascii="Calibri" w:cs="Calibri" w:eastAsia="Calibri" w:hAnsi="Calibri"/>
        </w:rPr>
        <w:t xml:space="preserve"/>
      </w:r>
    </w:p>
    <w:p>
      <w:pPr>
        <w:spacing w:after="10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240" w:sz="1"/>
              <w:left w:val="single" w:color="0F2240" w:sz="1"/>
              <w:bottom w:val="single" w:color="0F2240" w:sz="1"/>
              <w:right w:val="single" w:color="0F2240" w:sz="1"/>
            </w:tcBorders>
            <w:shd w:fill="0F2240" w:val="clear"/>
            <w:tcMar>
              <w:top w:type="dxa" w:w="140"/>
              <w:left w:type="dxa" w:w="200"/>
              <w:bottom w:type="dxa" w:w="140"/>
              <w:right w:type="dxa" w:w="200"/>
            </w:tcMar>
          </w:tcPr>
          <w:p>
            <w:pPr>
              <w:spacing w:after="120"/>
            </w:pPr>
            <w:r>
              <w:rPr>
                <w:rFonts w:ascii="Calibri" w:cs="Calibri" w:eastAsia="Calibri" w:hAnsi="Calibri"/>
                <w:b/>
                <w:bCs/>
                <w:color w:val="FFFFFF"/>
                <w:sz w:val="26"/>
                <w:szCs w:val="26"/>
              </w:rPr>
              <w:t xml:space="preserve">1. Control Overview</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6D28D9" w:sz="1"/>
              <w:left w:val="single" w:color="6D28D9" w:sz="1"/>
              <w:bottom w:val="single" w:color="6D28D9" w:sz="1"/>
              <w:right w:val="single" w:color="6D28D9" w:sz="1"/>
            </w:tcBorders>
            <w:shd w:fill="6D28D9"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Attribute</w:t>
            </w:r>
          </w:p>
        </w:tc>
        <w:tc>
          <w:tcPr>
            <w:tcW w:type="dxa" w:w="6160"/>
            <w:tcBorders>
              <w:top w:val="single" w:color="6D28D9" w:sz="1"/>
              <w:left w:val="single" w:color="6D28D9" w:sz="1"/>
              <w:bottom w:val="single" w:color="6D28D9" w:sz="1"/>
              <w:right w:val="single" w:color="6D28D9" w:sz="1"/>
            </w:tcBorders>
            <w:shd w:fill="6D28D9"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Detail</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Control ID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RB-CTRL-04</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Control Name</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KYC Documentation Review — Branch Network</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Control Type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Preventive + Detective</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Control Category</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Compliance / KYC / AML</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Risk Addressed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KYC documentation inconsistency across branch network — gaps in identity verification and ongoing monitoring</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Control Owner</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Chief Compliance Officer</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Process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Branch onboarding and periodic customer due diligence refresh</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GRC Tool</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MetricStream</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Last Tested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30-Apr-2026 — Monthly RCSA sampling (5% of branch transactions)</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Effectiveness Rating</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WEAK</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Key Gap</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Training gap — last branch KYC refresher 18 months ago</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Regulatory Reference</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BSA/AML | FinCEN CDD Rule 2024 | OCC BSA/AML Examination Procedures</w:t>
            </w:r>
          </w:p>
        </w:tc>
      </w:tr>
    </w:tbl>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240" w:sz="1"/>
              <w:left w:val="single" w:color="0F2240" w:sz="1"/>
              <w:bottom w:val="single" w:color="0F2240" w:sz="1"/>
              <w:right w:val="single" w:color="0F2240" w:sz="1"/>
            </w:tcBorders>
            <w:shd w:fill="0F2240" w:val="clear"/>
            <w:tcMar>
              <w:top w:type="dxa" w:w="140"/>
              <w:left w:type="dxa" w:w="200"/>
              <w:bottom w:type="dxa" w:w="140"/>
              <w:right w:type="dxa" w:w="200"/>
            </w:tcMar>
          </w:tcPr>
          <w:p>
            <w:pPr>
              <w:spacing w:after="120"/>
            </w:pPr>
            <w:r>
              <w:rPr>
                <w:rFonts w:ascii="Calibri" w:cs="Calibri" w:eastAsia="Calibri" w:hAnsi="Calibri"/>
                <w:b/>
                <w:bCs/>
                <w:color w:val="FFFFFF"/>
                <w:sz w:val="26"/>
                <w:szCs w:val="26"/>
              </w:rPr>
              <w:t xml:space="preserve">2. Control Narrative</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4"/>
              <w:left w:val="single" w:color="6D28D9" w:sz="8"/>
              <w:bottom w:val="single" w:color="6D28D9" w:sz="4"/>
              <w:right w:val="single" w:color="6D28D9" w:sz="4"/>
            </w:tcBorders>
            <w:shd w:fill="EDE9FE" w:val="clear"/>
            <w:tcMar>
              <w:top w:type="dxa" w:w="100"/>
              <w:left w:type="dxa" w:w="160"/>
              <w:bottom w:type="dxa" w:w="100"/>
              <w:right w:type="dxa" w:w="160"/>
            </w:tcMar>
          </w:tcPr>
          <w:p>
            <w:pPr>
              <w:spacing w:after="120"/>
            </w:pPr>
            <w:r>
              <w:rPr>
                <w:rFonts w:ascii="Calibri" w:cs="Calibri" w:eastAsia="Calibri" w:hAnsi="Calibri"/>
                <w:b/>
                <w:bCs/>
                <w:color w:val="6D28D9"/>
                <w:sz w:val="20"/>
                <w:szCs w:val="20"/>
              </w:rPr>
              <w:t xml:space="preserve">2.1  Control Purpose</w:t>
            </w:r>
          </w:p>
        </w:tc>
      </w:tr>
    </w:tbl>
    <w:p>
      <w:pPr>
        <w:spacing w:after="60"/>
      </w:pPr>
      <w:r>
        <w:rPr>
          <w:rFonts w:ascii="Calibri" w:cs="Calibri" w:eastAsia="Calibri" w:hAnsi="Calibri"/>
        </w:rPr>
        <w:t xml:space="preserve"/>
      </w:r>
    </w:p>
    <w:p>
      <w:pPr>
        <w:spacing w:after="120"/>
      </w:pPr>
      <w:r>
        <w:rPr>
          <w:rFonts w:ascii="Calibri" w:cs="Calibri" w:eastAsia="Calibri" w:hAnsi="Calibri"/>
          <w:sz w:val="21"/>
          <w:szCs w:val="21"/>
        </w:rPr>
        <w:t xml:space="preserve">The KYC Documentation Review control ensures that all customer onboarding and periodic due diligence activities conducted across the bank's branch network comply with the Bank Secrecy Act, FinCEN Customer Due Diligence (CDD) Rule, and OCC BSA/AML examination standards. The control is designed to prevent the bank from being used as a conduit for money laundering, terrorist financing, or other financial crime by ensuring customer identities are robustly verified and documented at onboarding and refreshed on a risk-based schedule.</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4"/>
              <w:left w:val="single" w:color="B91C1C" w:sz="8"/>
              <w:bottom w:val="single" w:color="B91C1C" w:sz="4"/>
              <w:right w:val="single" w:color="B91C1C" w:sz="4"/>
            </w:tcBorders>
            <w:shd w:fill="FEE2E2" w:val="clear"/>
            <w:tcMar>
              <w:top w:type="dxa" w:w="100"/>
              <w:left w:type="dxa" w:w="160"/>
              <w:bottom w:type="dxa" w:w="100"/>
              <w:right w:type="dxa" w:w="160"/>
            </w:tcMar>
          </w:tcPr>
          <w:p>
            <w:pPr>
              <w:spacing w:after="120"/>
            </w:pPr>
            <w:r>
              <w:rPr>
                <w:rFonts w:ascii="Calibri" w:cs="Calibri" w:eastAsia="Calibri" w:hAnsi="Calibri"/>
                <w:b/>
                <w:bCs/>
                <w:color w:val="B91C1C"/>
                <w:sz w:val="20"/>
                <w:szCs w:val="20"/>
              </w:rPr>
              <w:t xml:space="preserve">2.2  Critical Weakness — 18-Month Training Gap</w:t>
            </w:r>
          </w:p>
        </w:tc>
      </w:tr>
    </w:tbl>
    <w:p>
      <w:pPr>
        <w:spacing w:after="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8"/>
              <w:left w:val="single" w:color="B91C1C" w:sz="8"/>
              <w:bottom w:val="single" w:color="B91C1C" w:sz="8"/>
              <w:right w:val="single" w:color="B91C1C" w:sz="8"/>
            </w:tcBorders>
            <w:shd w:fill="FEE2E2" w:val="clear"/>
            <w:tcMar>
              <w:top w:type="dxa" w:w="160"/>
              <w:left w:type="dxa" w:w="200"/>
              <w:bottom w:type="dxa" w:w="160"/>
              <w:right w:type="dxa" w:w="200"/>
            </w:tcMar>
          </w:tcPr>
          <w:p>
            <w:pPr>
              <w:spacing w:after="120"/>
            </w:pPr>
            <w:r>
              <w:rPr>
                <w:rFonts w:ascii="Calibri" w:cs="Calibri" w:eastAsia="Calibri" w:hAnsi="Calibri"/>
                <w:color w:val="1E293B"/>
                <w:sz w:val="20"/>
                <w:szCs w:val="20"/>
              </w:rPr>
              <w:t xml:space="preserve">⚠  Material Control Weakness: Branch staff KYC training was last conducted in October 2023 — 18 months ago. The FinCEN CDD Rule was updated in Q1 2024 with revised customer risk scoring methodology, and the OCC issued updated BSA/AML examination procedures in September 2024. Branch staff are not trained on either update. The April 2026 RCSA sampling identified 4 incomplete KYC files in a sample of 62 transactions (6.5% error rate vs 0% target). This directly contributes to the WEAK control rating. Refresher training is classified as P2 Action ACT-004 — 45 days.</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4"/>
              <w:left w:val="single" w:color="6D28D9" w:sz="8"/>
              <w:bottom w:val="single" w:color="6D28D9" w:sz="4"/>
              <w:right w:val="single" w:color="6D28D9" w:sz="4"/>
            </w:tcBorders>
            <w:shd w:fill="EDE9FE" w:val="clear"/>
            <w:tcMar>
              <w:top w:type="dxa" w:w="100"/>
              <w:left w:type="dxa" w:w="160"/>
              <w:bottom w:type="dxa" w:w="100"/>
              <w:right w:type="dxa" w:w="160"/>
            </w:tcMar>
          </w:tcPr>
          <w:p>
            <w:pPr>
              <w:spacing w:after="120"/>
            </w:pPr>
            <w:r>
              <w:rPr>
                <w:rFonts w:ascii="Calibri" w:cs="Calibri" w:eastAsia="Calibri" w:hAnsi="Calibri"/>
                <w:b/>
                <w:bCs/>
                <w:color w:val="6D28D9"/>
                <w:sz w:val="20"/>
                <w:szCs w:val="20"/>
              </w:rPr>
              <w:t xml:space="preserve">2.3  Control Mechanism</w:t>
            </w:r>
          </w:p>
        </w:tc>
      </w:tr>
    </w:tbl>
    <w:p>
      <w:pPr>
        <w:spacing w:after="60"/>
      </w:pPr>
      <w:r>
        <w:rPr>
          <w:rFonts w:ascii="Calibri" w:cs="Calibri" w:eastAsia="Calibri" w:hAnsi="Calibri"/>
        </w:rPr>
        <w:t xml:space="preserve"/>
      </w:r>
    </w:p>
    <w:p>
      <w:pPr>
        <w:pStyle w:val="ListParagraph"/>
        <w:numPr>
          <w:ilvl w:val="0"/>
          <w:numId w:val="2"/>
        </w:numPr>
        <w:spacing w:after="80"/>
      </w:pPr>
      <w:r>
        <w:rPr>
          <w:rFonts w:ascii="Calibri" w:cs="Calibri" w:eastAsia="Calibri" w:hAnsi="Calibri"/>
          <w:color w:val="1E293B"/>
          <w:sz w:val="21"/>
          <w:szCs w:val="21"/>
        </w:rPr>
        <w:t xml:space="preserve">At Onboarding: Branch staff collect and verify: Government-issued photo ID (passport, driving licence), Proof of address (utility bill, bank statement &lt;3 months), Source of funds declaration (for transactions &gt;$10,000), Beneficial ownership information (for business accounts)</w:t>
      </w:r>
    </w:p>
    <w:p>
      <w:pPr>
        <w:pStyle w:val="ListParagraph"/>
        <w:numPr>
          <w:ilvl w:val="0"/>
          <w:numId w:val="2"/>
        </w:numPr>
        <w:spacing w:after="80"/>
      </w:pPr>
      <w:r>
        <w:rPr>
          <w:rFonts w:ascii="Calibri" w:cs="Calibri" w:eastAsia="Calibri" w:hAnsi="Calibri"/>
          <w:color w:val="1E293B"/>
          <w:sz w:val="21"/>
          <w:szCs w:val="21"/>
        </w:rPr>
        <w:t xml:space="preserve">Risk Scoring: Each new customer is assigned a risk rating (Low / Medium / High) based on the FinCEN CDD framework — determining the frequency of periodic due diligence refresh</w:t>
      </w:r>
    </w:p>
    <w:p>
      <w:pPr>
        <w:pStyle w:val="ListParagraph"/>
        <w:numPr>
          <w:ilvl w:val="0"/>
          <w:numId w:val="2"/>
        </w:numPr>
        <w:spacing w:after="80"/>
      </w:pPr>
      <w:r>
        <w:rPr>
          <w:rFonts w:ascii="Calibri" w:cs="Calibri" w:eastAsia="Calibri" w:hAnsi="Calibri"/>
          <w:color w:val="1E293B"/>
          <w:sz w:val="21"/>
          <w:szCs w:val="21"/>
        </w:rPr>
        <w:t xml:space="preserve">Periodic Refresh: High-risk customers refreshed annually, Medium-risk every 2 years, Low-risk every 3 years — coordinated via the CRM system automated alert</w:t>
      </w:r>
    </w:p>
    <w:p>
      <w:pPr>
        <w:pStyle w:val="ListParagraph"/>
        <w:numPr>
          <w:ilvl w:val="0"/>
          <w:numId w:val="2"/>
        </w:numPr>
        <w:spacing w:after="80"/>
      </w:pPr>
      <w:r>
        <w:rPr>
          <w:rFonts w:ascii="Calibri" w:cs="Calibri" w:eastAsia="Calibri" w:hAnsi="Calibri"/>
          <w:color w:val="1E293B"/>
          <w:sz w:val="21"/>
          <w:szCs w:val="21"/>
        </w:rPr>
        <w:t xml:space="preserve">Sampling: Monthly, 5% of branch onboarding transactions are sampled by the Compliance team for file quality review — results reported in MetricStream</w:t>
      </w:r>
    </w:p>
    <w:p>
      <w:pPr>
        <w:pStyle w:val="ListParagraph"/>
        <w:numPr>
          <w:ilvl w:val="0"/>
          <w:numId w:val="2"/>
        </w:numPr>
        <w:spacing w:after="80"/>
      </w:pPr>
      <w:r>
        <w:rPr>
          <w:rFonts w:ascii="Calibri" w:cs="Calibri" w:eastAsia="Calibri" w:hAnsi="Calibri"/>
          <w:color w:val="1E293B"/>
          <w:sz w:val="21"/>
          <w:szCs w:val="21"/>
        </w:rPr>
        <w:t xml:space="preserve">Escalation: Any customer flagged as Politically Exposed Person (PEP) or high-risk jurisdiction is automatically escalated to the Financial Intelligence Unit (FIU) for Enhanced Due Diligence (EDD)</w:t>
      </w:r>
    </w:p>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spacing w:before="80"/>
    </w:pPr>
    <w:r>
      <w:rPr>
        <w:rFonts w:ascii="Calibri" w:cs="Calibri" w:eastAsia="Calibri" w:hAnsi="Calibri"/>
        <w:color w:val="64748B"/>
        <w:sz w:val="17"/>
        <w:szCs w:val="17"/>
      </w:rPr>
      <w:t xml:space="preserve">Confidential — For Internal Use Only     Page </w:t>
    </w:r>
    <w:r>
      <w:rPr>
        <w:rFonts w:ascii="Calibri" w:cs="Calibri" w:eastAsia="Calibri" w:hAnsi="Calibri"/>
        <w:color w:val="64748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single" w:color="1E4FA8" w:sz="6"/>
        <w:right w:val="none" w:color="FFFFFF" w:sz="0"/>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pPr>
          <w:r>
            <w:rPr>
              <w:rFonts w:ascii="Calibri" w:cs="Calibri" w:eastAsia="Calibri" w:hAnsi="Calibri"/>
              <w:b/>
              <w:bCs/>
              <w:color w:val="0F2240"/>
              <w:sz w:val="18"/>
              <w:szCs w:val="18"/>
            </w:rPr>
            <w:t xml:space="preserve">RB-CTRL-04  </w:t>
          </w:r>
          <w:r>
            <w:rPr>
              <w:rFonts w:ascii="Calibri" w:cs="Calibri" w:eastAsia="Calibri" w:hAnsi="Calibri"/>
              <w:color w:val="64748B"/>
              <w:sz w:val="18"/>
              <w:szCs w:val="18"/>
            </w:rPr>
            <w:t xml:space="preserve">| Control Narrative</w:t>
          </w:r>
        </w:p>
      </w:tc>
      <w:tc>
        <w:tcPr>
          <w:tcW w:type="dxa" w:w="28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jc w:val="right"/>
          </w:pPr>
          <w:r>
            <w:rPr>
              <w:rFonts w:ascii="Calibri" w:cs="Calibri" w:eastAsia="Calibri" w:hAnsi="Calibri"/>
              <w:color w:val="64748B"/>
              <w:sz w:val="16"/>
              <w:szCs w:val="16"/>
            </w:rPr>
            <w:t xml:space="preserve">Global Retail Bank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2026-05-12T07:49:04.006Z</dcterms:created>
  <dcterms:modified xsi:type="dcterms:W3CDTF">2026-05-12T07:49:04.006Z</dcterms:modified>
</cp:coreProperties>
</file>

<file path=docProps/custom.xml><?xml version="1.0" encoding="utf-8"?>
<Properties xmlns="http://schemas.openxmlformats.org/officeDocument/2006/custom-properties" xmlns:vt="http://schemas.openxmlformats.org/officeDocument/2006/docPropsVTypes"/>
</file>