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2"/>
              <w:left w:val="single" w:color="0F2240" w:sz="24"/>
              <w:bottom w:val="single" w:color="6D28D9" w:sz="12"/>
              <w:right w:val="single" w:color="6D28D9"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 — CALL NARRATIVE</w:t>
            </w:r>
          </w:p>
          <w:p>
            <w:pPr>
              <w:spacing w:after="120"/>
            </w:pPr>
            <w:r>
              <w:rPr>
                <w:rFonts w:ascii="Calibri" w:cs="Calibri" w:eastAsia="Calibri" w:hAnsi="Calibri"/>
                <w:b/>
                <w:bCs/>
                <w:color w:val="FFFFFF"/>
                <w:sz w:val="38"/>
                <w:szCs w:val="38"/>
              </w:rPr>
              <w:t xml:space="preserve">KYC Documentation Review — Branch Network</w:t>
            </w:r>
          </w:p>
          <w:p>
            <w:pPr>
              <w:spacing w:after="120"/>
            </w:pPr>
            <w:r>
              <w:rPr>
                <w:rFonts w:ascii="Calibri" w:cs="Calibri" w:eastAsia="Calibri" w:hAnsi="Calibri"/>
                <w:color w:val="94BAF7"/>
                <w:sz w:val="22"/>
                <w:szCs w:val="22"/>
              </w:rPr>
              <w:t xml:space="preserve">Retail Banking Division  |  RB-CTRL-04</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KYC Documentation Review — Branch Network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 — Call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(GPT-4o) | CCO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30-Apr-2026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Owner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 Williams, Chief Compliance Officer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 Copilot Studio (GPT-4o)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30-Apr-2026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Context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Monthly RCSA — KYC sampling identified 4 incomplete files</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Interview Transcript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8"/>
              <w:bottom w:val="single" w:color="B91C1C" w:sz="4"/>
              <w:right w:val="single" w:color="B91C1C" w:sz="4"/>
            </w:tcBorders>
            <w:shd w:fill="FEE2E2" w:val="clear"/>
            <w:tcMar>
              <w:top w:type="dxa" w:w="100"/>
              <w:left w:type="dxa" w:w="160"/>
              <w:bottom w:type="dxa" w:w="100"/>
              <w:right w:type="dxa" w:w="160"/>
            </w:tcMar>
          </w:tcPr>
          <w:p>
            <w:pPr>
              <w:spacing w:after="120"/>
            </w:pPr>
            <w:r>
              <w:rPr>
                <w:rFonts w:ascii="Calibri" w:cs="Calibri" w:eastAsia="Calibri" w:hAnsi="Calibri"/>
                <w:b/>
                <w:bCs/>
                <w:color w:val="B91C1C"/>
                <w:sz w:val="20"/>
                <w:szCs w:val="20"/>
              </w:rPr>
              <w:t xml:space="preserve">Section A — April Sampling Findings</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Ms Williams, the April 2026 KYC sampling found 4 incomplete files in 62 sampled transactions — a 6.5% error rate. The pre-loaded data shows all 4 were from branch staff who joined after the October 2023 training cohort. Is this a training gap or a process gap?</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Both, honestly. The primary cause is that staff hired in the last 18 months haven't had formal KYC training — we've been relying on on-the-job learning from senior colleagues. But there's also a process gap: our KYC checklist wasn't updated when FinCEN revised the CDD rule in Q1 2024. So even trained staff are working from an outdated checklist.</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The FinCEN Q1 2024 CDD update introduced revised customer risk scoring criteria and expanded the beneficial ownership definition for certain legal entity types. Are any of the 4 incomplete files related to those specific new requirements?</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Two of the four — both were business account onboardings where the beneficial ownership documentation under the new 25% ownership threshold wasn't collected correctly. The old checklist had a 50% threshold. The branch staff didn't know the rule had changed.</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That's a direct regulatory compliance breach on two accounts. Under the FinCEN CDD rule, those files need to be remediated with correct beneficial ownership documentation before those accounts can be used for business transactions above the CTR threshold. Has remediation been initiated?</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C. Williams: </w:t>
      </w:r>
      <w:r>
        <w:rPr>
          <w:rFonts w:ascii="Calibri" w:cs="Calibri" w:eastAsia="Calibri" w:hAnsi="Calibri"/>
          <w:sz w:val="20"/>
          <w:szCs w:val="20"/>
        </w:rPr>
        <w:t xml:space="preserve">Yes — both customers have been contacted for updated documentation. One has responded, one is outstanding. The accounts are flagged in the system pending remediation. We expect closure within the week.</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AI Agent Summary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Assessment: WEAK
Two direct regulatory breaches identified — beneficial ownership documentation non-compliant with FinCEN Q1 2024 CDD rule update (25% threshold). Root causes: (1) 18-month training gap — staff hired since Oct 2023 untrained, (2) KYC checklist not updated for FinCEN and OCC 2024 rule changes. Remediation: ACT-004 P2 — refresher training for all branch staff within 45 days, updated KYC checklist rolled out within 15 days. Two accounts in active remediation. If outstanding account not resolved by May 15th, recommend escalation to CCO for regulatory notification assessment.</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RB-CTRL-04  </w:t>
          </w:r>
          <w:r>
            <w:rPr>
              <w:rFonts w:ascii="Calibri" w:cs="Calibri" w:eastAsia="Calibri" w:hAnsi="Calibri"/>
              <w:color w:val="64748B"/>
              <w:sz w:val="18"/>
              <w:szCs w:val="18"/>
            </w:rPr>
            <w:t xml:space="preserve">| Control Owner Interview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2026-05-12T07:49:04.047Z</dcterms:created>
  <dcterms:modified xsi:type="dcterms:W3CDTF">2026-05-12T07:49:04.047Z</dcterms:modified>
</cp:coreProperties>
</file>

<file path=docProps/custom.xml><?xml version="1.0" encoding="utf-8"?>
<Properties xmlns="http://schemas.openxmlformats.org/officeDocument/2006/custom-properties" xmlns:vt="http://schemas.openxmlformats.org/officeDocument/2006/docPropsVTypes"/>
</file>