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12"/>
              <w:left w:val="single" w:color="0F2240" w:sz="24"/>
              <w:bottom w:val="single" w:color="1E4FA8" w:sz="12"/>
              <w:right w:val="single" w:color="1E4FA8" w:sz="4"/>
            </w:tcBorders>
            <w:shd w:fill="0F2240" w:val="clear"/>
            <w:tcMar>
              <w:top w:type="dxa" w:w="360"/>
              <w:left w:type="dxa" w:w="400"/>
              <w:bottom w:type="dxa" w:w="360"/>
              <w:right w:type="dxa" w:w="400"/>
            </w:tcMar>
          </w:tcPr>
          <w:p>
            <w:pPr>
              <w:spacing w:after="120"/>
            </w:pPr>
            <w:r>
              <w:rPr>
                <w:rFonts w:ascii="Calibri" w:cs="Calibri" w:eastAsia="Calibri" w:hAnsi="Calibri"/>
                <w:b/>
                <w:bCs/>
                <w:caps/>
                <w:color w:val="94BAF7"/>
                <w:sz w:val="18"/>
                <w:szCs w:val="18"/>
              </w:rPr>
              <w:t xml:space="preserve">CONTROL NARRATIVE</w:t>
            </w:r>
          </w:p>
          <w:p>
            <w:pPr>
              <w:spacing w:after="120"/>
            </w:pPr>
            <w:r>
              <w:rPr>
                <w:rFonts w:ascii="Calibri" w:cs="Calibri" w:eastAsia="Calibri" w:hAnsi="Calibri"/>
                <w:b/>
                <w:bCs/>
                <w:color w:val="FFFFFF"/>
                <w:sz w:val="38"/>
                <w:szCs w:val="38"/>
              </w:rPr>
              <w:t xml:space="preserve">Mortgage Affordability Stress Testing</w:t>
            </w:r>
          </w:p>
          <w:p>
            <w:pPr>
              <w:spacing w:after="120"/>
            </w:pPr>
            <w:r>
              <w:rPr>
                <w:rFonts w:ascii="Calibri" w:cs="Calibri" w:eastAsia="Calibri" w:hAnsi="Calibri"/>
                <w:color w:val="94BAF7"/>
                <w:sz w:val="22"/>
                <w:szCs w:val="22"/>
              </w:rPr>
              <w:t xml:space="preserve">Retail Banking — Mortgages  |  RB-CTRL-05</w:t>
            </w:r>
          </w:p>
        </w:tc>
      </w:tr>
    </w:tbl>
    <w:p>
      <w:pPr>
        <w:spacing w:after="18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RB-CTRL-05</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Control Name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Mortgage Affordability Stress Testing</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Business Division</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Retail Banking — Mortgages</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Document Type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Control Narrative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Prepared By</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P. Khan, Head of Mortgage Credit Risk</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Review Date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April 15, 2026</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Classification</w:t>
            </w:r>
          </w:p>
        </w:tc>
        <w:tc>
          <w:tcPr>
            <w:tcW w:type="dxa" w:w="6760"/>
            <w:tcBorders>
              <w:top w:val="single" w:color="CBD5E1" w:sz="1"/>
              <w:left w:val="single" w:color="CBD5E1" w:sz="1"/>
              <w:bottom w:val="single" w:color="CBD5E1" w:sz="1"/>
              <w:right w:val="single" w:color="CBD5E1" w:sz="1"/>
            </w:tcBorders>
            <w:shd w:fill="EBF1FC" w:val="clear"/>
            <w:tcMar>
              <w:top w:type="dxa" w:w="80"/>
              <w:left w:type="dxa" w:w="140"/>
              <w:bottom w:type="dxa" w:w="80"/>
              <w:right w:type="dxa" w:w="140"/>
            </w:tcMar>
          </w:tcPr>
          <w:p>
            <w:pPr>
              <w:spacing w:after="120"/>
            </w:pPr>
            <w:r>
              <w:rPr>
                <w:rFonts w:ascii="Calibri" w:cs="Calibri" w:eastAsia="Calibri" w:hAnsi="Calibri"/>
                <w:b/>
                <w:bCs/>
                <w:color w:val="1E4FA8"/>
                <w:sz w:val="20"/>
                <w:szCs w:val="20"/>
              </w:rPr>
              <w:t xml:space="preserve">Adequate</w:t>
            </w:r>
          </w:p>
        </w:tc>
      </w:tr>
      <w:tr>
        <w:tc>
          <w:tcPr>
            <w:tcW w:type="dxa" w:w="2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20"/>
                <w:szCs w:val="20"/>
              </w:rPr>
              <w:t xml:space="preserve">GRC Reference</w:t>
            </w:r>
          </w:p>
        </w:tc>
        <w:tc>
          <w:tcPr>
            <w:tcW w:type="dxa" w:w="67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20"/>
                <w:szCs w:val="20"/>
              </w:rPr>
              <w:t xml:space="preserve">RCSA-2026-RB-Q2 | ServiceNow / MetricStream</w:t>
            </w:r>
          </w:p>
        </w:tc>
      </w:tr>
    </w:tbl>
    <w:p>
      <w:pPr>
        <w:spacing w:after="100"/>
      </w:pPr>
      <w:r>
        <w:rPr>
          <w:rFonts w:ascii="Calibri" w:cs="Calibri" w:eastAsia="Calibri" w:hAnsi="Calibri"/>
        </w:rPr>
        <w:t xml:space="preserve"/>
      </w:r>
    </w:p>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1.  Control Objective</w:t>
            </w:r>
          </w:p>
        </w:tc>
      </w:tr>
    </w:tbl>
    <w:p>
      <w:pPr>
        <w:spacing w:after="120"/>
      </w:pPr>
      <w:r>
        <w:rPr>
          <w:rFonts w:ascii="Calibri" w:cs="Calibri" w:eastAsia="Calibri" w:hAnsi="Calibri"/>
          <w:sz w:val="21"/>
          <w:szCs w:val="21"/>
        </w:rPr>
        <w:t xml:space="preserve">This control ensures that every residential mortgage application is assessed for affordability under both current interest rate conditions and a regulatory stress scenario before credit approval. The objective is to prevent the bank from extending mortgage credit that would become unaffordable to the borrower under a reasonable interest rate increase, in line with the FCA's MCOB 11 requirements and the Bank of England Financial Policy Committee (FPC) recommendations.</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2.  Regulatory Drivers</w:t>
            </w:r>
          </w:p>
        </w:tc>
      </w:tr>
    </w:tbl>
    <w:p>
      <w:pPr>
        <w:pStyle w:val="ListParagraph"/>
        <w:numPr>
          <w:ilvl w:val="0"/>
          <w:numId w:val="2"/>
        </w:numPr>
        <w:spacing w:after="80"/>
      </w:pPr>
      <w:r>
        <w:rPr>
          <w:rFonts w:ascii="Calibri" w:cs="Calibri" w:eastAsia="Calibri" w:hAnsi="Calibri"/>
          <w:color w:val="1E293B"/>
          <w:sz w:val="21"/>
          <w:szCs w:val="21"/>
        </w:rPr>
        <w:t xml:space="preserve">FCA Mortgage Conduct of Business sourcebook MCOB 11 — Responsible Lending obligations</w:t>
      </w:r>
    </w:p>
    <w:p>
      <w:pPr>
        <w:pStyle w:val="ListParagraph"/>
        <w:numPr>
          <w:ilvl w:val="0"/>
          <w:numId w:val="2"/>
        </w:numPr>
        <w:spacing w:after="80"/>
      </w:pPr>
      <w:r>
        <w:rPr>
          <w:rFonts w:ascii="Calibri" w:cs="Calibri" w:eastAsia="Calibri" w:hAnsi="Calibri"/>
          <w:color w:val="1E293B"/>
          <w:sz w:val="21"/>
          <w:szCs w:val="21"/>
        </w:rPr>
        <w:t xml:space="preserve">PRA Supervisory Statement SS20/15 — Underwriting standards for buy-to-let mortgages</w:t>
      </w:r>
    </w:p>
    <w:p>
      <w:pPr>
        <w:pStyle w:val="ListParagraph"/>
        <w:numPr>
          <w:ilvl w:val="0"/>
          <w:numId w:val="2"/>
        </w:numPr>
        <w:spacing w:after="80"/>
      </w:pPr>
      <w:r>
        <w:rPr>
          <w:rFonts w:ascii="Calibri" w:cs="Calibri" w:eastAsia="Calibri" w:hAnsi="Calibri"/>
          <w:color w:val="1E293B"/>
          <w:sz w:val="21"/>
          <w:szCs w:val="21"/>
        </w:rPr>
        <w:t xml:space="preserve">FPC Recommendation (Jun 2017, reaffirmed Sept 2024) — interest rate stress test floor of +3% above the reversion rate</w:t>
      </w:r>
    </w:p>
    <w:p>
      <w:pPr>
        <w:pStyle w:val="ListParagraph"/>
        <w:numPr>
          <w:ilvl w:val="0"/>
          <w:numId w:val="2"/>
        </w:numPr>
        <w:spacing w:after="80"/>
      </w:pPr>
      <w:r>
        <w:rPr>
          <w:rFonts w:ascii="Calibri" w:cs="Calibri" w:eastAsia="Calibri" w:hAnsi="Calibri"/>
          <w:color w:val="1E293B"/>
          <w:sz w:val="21"/>
          <w:szCs w:val="21"/>
        </w:rPr>
        <w:t xml:space="preserve">FCA Consumer Duty (PRIN 2A) — outcome standards on consumer understanding and avoiding foreseeable harm</w:t>
      </w:r>
    </w:p>
    <w:p>
      <w:pPr>
        <w:pStyle w:val="ListParagraph"/>
        <w:numPr>
          <w:ilvl w:val="0"/>
          <w:numId w:val="2"/>
        </w:numPr>
        <w:spacing w:after="80"/>
      </w:pPr>
      <w:r>
        <w:rPr>
          <w:rFonts w:ascii="Calibri" w:cs="Calibri" w:eastAsia="Calibri" w:hAnsi="Calibri"/>
          <w:color w:val="1E293B"/>
          <w:sz w:val="21"/>
          <w:szCs w:val="21"/>
        </w:rPr>
        <w:t xml:space="preserve">CONC 5.2A — assessment of creditworthiness for regulated mortgage contracts</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3.  Control Description</w:t>
            </w:r>
          </w:p>
        </w:tc>
      </w:tr>
    </w:tbl>
    <w:p>
      <w:pPr>
        <w:spacing w:after="120"/>
      </w:pPr>
      <w:r>
        <w:rPr>
          <w:rFonts w:ascii="Calibri" w:cs="Calibri" w:eastAsia="Calibri" w:hAnsi="Calibri"/>
          <w:sz w:val="21"/>
          <w:szCs w:val="21"/>
        </w:rPr>
        <w:t xml:space="preserve">For every mortgage application processed through the Loan Origination System (LOS — MortgageWorks v6.4), the Affordability Calculator engine performs three sequential assessments:</w:t>
      </w:r>
    </w:p>
    <w:p>
      <w:pPr>
        <w:pStyle w:val="ListParagraph"/>
        <w:numPr>
          <w:ilvl w:val="0"/>
          <w:numId w:val="2"/>
        </w:numPr>
        <w:spacing w:after="80"/>
      </w:pPr>
      <w:r>
        <w:rPr>
          <w:rFonts w:ascii="Calibri" w:cs="Calibri" w:eastAsia="Calibri" w:hAnsi="Calibri"/>
          <w:color w:val="1E293B"/>
          <w:sz w:val="21"/>
          <w:szCs w:val="21"/>
        </w:rPr>
        <w:t xml:space="preserve">Current Rate Test — calculates whether the borrower's net monthly disposable income can support the contractual monthly mortgage payment plus committed credit, household essential expenditure (per ONS basket), and a 10% discretionary buffer.</w:t>
      </w:r>
    </w:p>
    <w:p>
      <w:pPr>
        <w:pStyle w:val="ListParagraph"/>
        <w:numPr>
          <w:ilvl w:val="0"/>
          <w:numId w:val="2"/>
        </w:numPr>
        <w:spacing w:after="80"/>
      </w:pPr>
      <w:r>
        <w:rPr>
          <w:rFonts w:ascii="Calibri" w:cs="Calibri" w:eastAsia="Calibri" w:hAnsi="Calibri"/>
          <w:color w:val="1E293B"/>
          <w:sz w:val="21"/>
          <w:szCs w:val="21"/>
        </w:rPr>
        <w:t xml:space="preserve">Reversion Rate Stress — re-runs the affordability calculation at the bank's published Standard Variable Rate (SVR) + 3.0% per the FPC recommendation.</w:t>
      </w:r>
    </w:p>
    <w:p>
      <w:pPr>
        <w:pStyle w:val="ListParagraph"/>
        <w:numPr>
          <w:ilvl w:val="0"/>
          <w:numId w:val="2"/>
        </w:numPr>
        <w:spacing w:after="80"/>
      </w:pPr>
      <w:r>
        <w:rPr>
          <w:rFonts w:ascii="Calibri" w:cs="Calibri" w:eastAsia="Calibri" w:hAnsi="Calibri"/>
          <w:color w:val="1E293B"/>
          <w:sz w:val="21"/>
          <w:szCs w:val="21"/>
        </w:rPr>
        <w:t xml:space="preserve">Lifetime Stress — for fixed-rate products longer than 5 years, additional stress at SVR + 1.0% applied to the duration beyond initial fix.</w:t>
      </w:r>
    </w:p>
    <w:p>
      <w:pPr>
        <w:spacing w:after="120"/>
      </w:pPr>
      <w:r>
        <w:rPr>
          <w:rFonts w:ascii="Calibri" w:cs="Calibri" w:eastAsia="Calibri" w:hAnsi="Calibri"/>
        </w:rPr>
        <w:t xml:space="preserve"/>
      </w:r>
    </w:p>
    <w:p>
      <w:pPr>
        <w:spacing w:after="120"/>
      </w:pPr>
      <w:r>
        <w:rPr>
          <w:rFonts w:ascii="Calibri" w:cs="Calibri" w:eastAsia="Calibri" w:hAnsi="Calibri"/>
          <w:sz w:val="21"/>
          <w:szCs w:val="21"/>
        </w:rPr>
        <w:t xml:space="preserve">Applications that fail any of the three tests are routed to manual underwriting (Credit Committee Level 2) for case-by-case review. Auto-approval is blocked at the LOS level via a hard system gate. Test parameters (current SVR, stress percentages, expenditure basket values) are reviewed and updated quarterly by the Mortgage Credit Policy team and approved by the Retail Credit Risk Committee.</w:t>
      </w:r>
    </w:p>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4.  Key Risk Indicators (KRIs)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KRI</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Threshold / Trigger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 of approved mortgages with stress-test margin &lt;5%</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&gt;12% | Red: &gt;18%</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Manual override rate by underwriters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&gt;3% | Red: &gt;5%</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Arrears emergence within 24 months (new originations)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&gt;1.5% | Red: &gt;2.5%</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SVR parameter currency (days since last review)</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&gt;100 days | Red: &gt;120 days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Customer complaints citing affordability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Amber: &gt;15/quarter | Red: &gt;25/quarter</w:t>
            </w:r>
          </w:p>
        </w:tc>
      </w:tr>
    </w:tbl>
    <w:p>
      <w:pPr>
        <w:spacing w:after="1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5.  Control Frequency &amp; Coverage</w:t>
            </w:r>
          </w:p>
        </w:tc>
      </w:tr>
    </w:tbl>
    <w:p>
      <w:pPr>
        <w:spacing w:after="120"/>
      </w:pPr>
      <w:r>
        <w:rPr>
          <w:rFonts w:ascii="Calibri" w:cs="Calibri" w:eastAsia="Calibri" w:hAnsi="Calibri"/>
          <w:sz w:val="21"/>
          <w:szCs w:val="21"/>
        </w:rPr>
        <w:t xml:space="preserve">Frequency: Real-time, applied to every mortgage application without exception. Coverage: 100% of regulated residential mortgages including purchase, remortgage, further advance, and product transfer where new lending criteria apply. Excludes execution-only buy-to-let where MCOB does not apply, though equivalent affordability assessment under PRA SS20/15 runs in parallel.</w:t>
      </w:r>
    </w:p>
    <w:p>
      <w:pPr>
        <w:spacing w:after="12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4"/>
              <w:left w:val="single" w:color="1E4FA8" w:sz="8"/>
              <w:bottom w:val="single" w:color="1E4FA8" w:sz="4"/>
              <w:right w:val="single" w:color="1E4FA8" w:sz="4"/>
            </w:tcBorders>
            <w:shd w:fill="EBF1FC" w:val="clear"/>
            <w:tcMar>
              <w:top w:type="dxa" w:w="100"/>
              <w:left w:type="dxa" w:w="160"/>
              <w:bottom w:type="dxa" w:w="100"/>
              <w:right w:type="dxa" w:w="160"/>
            </w:tcMar>
          </w:tcPr>
          <w:p>
            <w:pPr>
              <w:spacing w:after="120"/>
            </w:pPr>
            <w:r>
              <w:rPr>
                <w:rFonts w:ascii="Calibri" w:cs="Calibri" w:eastAsia="Calibri" w:hAnsi="Calibri"/>
                <w:b/>
                <w:bCs/>
                <w:color w:val="1E4FA8"/>
                <w:sz w:val="20"/>
                <w:szCs w:val="20"/>
              </w:rPr>
              <w:t xml:space="preserve">6.  Roles &amp; Responsibilities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Role</w:t>
            </w:r>
          </w:p>
        </w:tc>
        <w:tc>
          <w:tcPr>
            <w:tcW w:type="dxa" w:w="6160"/>
            <w:tcBorders>
              <w:top w:val="single" w:color="1E4FA8" w:sz="1"/>
              <w:left w:val="single" w:color="1E4FA8" w:sz="1"/>
              <w:bottom w:val="single" w:color="1E4FA8" w:sz="1"/>
              <w:right w:val="single" w:color="1E4FA8" w:sz="1"/>
            </w:tcBorders>
            <w:shd w:fill="1E4FA8" w:val="clear"/>
            <w:tcMar>
              <w:top w:type="dxa" w:w="80"/>
              <w:left w:type="dxa" w:w="140"/>
              <w:bottom w:type="dxa" w:w="80"/>
              <w:right w:type="dxa" w:w="140"/>
            </w:tcMar>
          </w:tcPr>
          <w:p>
            <w:pPr>
              <w:spacing w:after="120"/>
              <w:jc w:val="center"/>
            </w:pPr>
            <w:r>
              <w:rPr>
                <w:rFonts w:ascii="Calibri" w:cs="Calibri" w:eastAsia="Calibri" w:hAnsi="Calibri"/>
                <w:b/>
                <w:bCs/>
                <w:color w:val="FFFFFF"/>
                <w:sz w:val="19"/>
                <w:szCs w:val="19"/>
              </w:rPr>
              <w:t xml:space="preserve">Responsibility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Mortgage Underwriter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Review applications routed for manual assessment; document rationale for any policy override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Mortgage Credit Policy Team (1st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Maintain calculator parameters; quarterly review of SVR floor, expenditure baskets, stress %</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Retail Credit Risk Committee (1st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Approve parameter changes; quarterly review of KRI dashboard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Compliance — Retail (2nd Line)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Annual control attestation; quarterly sample-based assurance testing</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bCs/>
                <w:color w:val="0F2240"/>
                <w:sz w:val="19"/>
                <w:szCs w:val="19"/>
              </w:rPr>
              <w:t xml:space="preserve">Internal Audit (3rd Line)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after="120"/>
            </w:pPr>
            <w:r>
              <w:rPr>
                <w:rFonts w:ascii="Calibri" w:cs="Calibri" w:eastAsia="Calibri" w:hAnsi="Calibri"/>
                <w:b w:val="false"/>
                <w:bCs w:val="false"/>
                <w:color w:val="1E293B"/>
                <w:sz w:val="19"/>
                <w:szCs w:val="19"/>
              </w:rPr>
              <w:t xml:space="preserve">Triennial deep-dive review; thematic reviews per Audit Plan</w:t>
            </w:r>
          </w:p>
        </w:tc>
      </w:tr>
    </w:tbl>
    <w:p>
      <w:pPr>
        <w:spacing w:after="16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FA8" w:sz="8"/>
              <w:left w:val="single" w:color="1E4FA8" w:sz="8"/>
              <w:bottom w:val="single" w:color="1E4FA8" w:sz="8"/>
              <w:right w:val="single" w:color="1E4FA8" w:sz="8"/>
            </w:tcBorders>
            <w:shd w:fill="EBF1FC" w:val="clear"/>
            <w:tcMar>
              <w:top w:type="dxa" w:w="160"/>
              <w:left w:type="dxa" w:w="200"/>
              <w:bottom w:type="dxa" w:w="160"/>
              <w:right w:type="dxa" w:w="200"/>
            </w:tcMar>
          </w:tcPr>
          <w:p>
            <w:pPr>
              <w:spacing w:after="120"/>
            </w:pPr>
            <w:r>
              <w:rPr>
                <w:rFonts w:ascii="Calibri" w:cs="Calibri" w:eastAsia="Calibri" w:hAnsi="Calibri"/>
                <w:color w:val="1E293B"/>
                <w:sz w:val="20"/>
                <w:szCs w:val="20"/>
              </w:rPr>
              <w:t xml:space="preserve">This is a key prudential control. Failure could result in PRA capital add-ons, FCA enforcement under MCOB 11, customer harm under Consumer Duty, and elevated mortgage arrears that erode loan book quality. The control sits within the 'Originate' segment of the Retail Banking customer lifecycle.</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spacing w:before="80"/>
    </w:pPr>
    <w:r>
      <w:rPr>
        <w:rFonts w:ascii="Calibri" w:cs="Calibri" w:eastAsia="Calibri" w:hAnsi="Calibri"/>
        <w:color w:val="64748B"/>
        <w:sz w:val="17"/>
        <w:szCs w:val="17"/>
      </w:rPr>
      <w:t xml:space="preserve">Confidential — For Internal Use Only     Page </w:t>
    </w:r>
    <w:r>
      <w:rPr>
        <w:rFonts w:ascii="Calibri" w:cs="Calibri" w:eastAsia="Calibri" w:hAnsi="Calibri"/>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E4FA8" w:sz="6"/>
        <w:right w:val="none" w:color="FFFFFF" w:sz="0"/>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pPr>
          <w:r>
            <w:rPr>
              <w:rFonts w:ascii="Calibri" w:cs="Calibri" w:eastAsia="Calibri" w:hAnsi="Calibri"/>
              <w:b/>
              <w:bCs/>
              <w:color w:val="0F2240"/>
              <w:sz w:val="18"/>
              <w:szCs w:val="18"/>
            </w:rPr>
            <w:t xml:space="preserve">RB-CTRL-05 · Mortgage Affordability Stress Testing  </w:t>
          </w:r>
          <w:r>
            <w:rPr>
              <w:rFonts w:ascii="Calibri" w:cs="Calibri" w:eastAsia="Calibri" w:hAnsi="Calibri"/>
              <w:color w:val="64748B"/>
              <w:sz w:val="18"/>
              <w:szCs w:val="18"/>
            </w:rPr>
            <w:t xml:space="preserve">| Control Narrative</w:t>
          </w:r>
        </w:p>
      </w:tc>
      <w:tc>
        <w:tcPr>
          <w:tcW w:type="dxa" w:w="2860"/>
          <w:tcBorders>
            <w:top w:val="none" w:color="FFFFFF" w:sz="0"/>
            <w:left w:val="none" w:color="FFFFFF" w:sz="0"/>
            <w:bottom w:val="none" w:color="FFFFFF" w:sz="0"/>
            <w:right w:val="none" w:color="FFFFFF" w:sz="0"/>
          </w:tcBorders>
          <w:shd w:fill="FFFFFF" w:val="clear"/>
          <w:tcMar>
            <w:top w:type="dxa" w:w="60"/>
            <w:left w:type="dxa" w:w="0"/>
            <w:bottom w:type="dxa" w:w="60"/>
            <w:right w:type="dxa" w:w="0"/>
          </w:tcMar>
        </w:tcPr>
        <w:p>
          <w:pPr>
            <w:spacing w:after="120"/>
            <w:jc w:val="right"/>
          </w:pPr>
          <w:r>
            <w:rPr>
              <w:rFonts w:ascii="Calibri" w:cs="Calibri" w:eastAsia="Calibri" w:hAnsi="Calibri"/>
              <w:color w:val="64748B"/>
              <w:sz w:val="16"/>
              <w:szCs w:val="16"/>
            </w:rPr>
            <w:t xml:space="preserve">Global Retail Bank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2026-05-21T12:15:09.867Z</dcterms:created>
  <dcterms:modified xsi:type="dcterms:W3CDTF">2026-05-21T12:15:09.867Z</dcterms:modified>
</cp:coreProperties>
</file>

<file path=docProps/custom.xml><?xml version="1.0" encoding="utf-8"?>
<Properties xmlns="http://schemas.openxmlformats.org/officeDocument/2006/custom-properties" xmlns:vt="http://schemas.openxmlformats.org/officeDocument/2006/docPropsVTypes"/>
</file>