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2"/>
              <w:left w:val="single" w:color="0F2240" w:sz="24"/>
              <w:bottom w:val="single" w:color="B45309" w:sz="12"/>
              <w:right w:val="single" w:color="B45309" w:sz="4"/>
            </w:tcBorders>
            <w:shd w:fill="0F2240" w:val="clear"/>
            <w:tcMar>
              <w:top w:type="dxa" w:w="360"/>
              <w:left w:type="dxa" w:w="400"/>
              <w:bottom w:type="dxa" w:w="360"/>
              <w:right w:type="dxa" w:w="400"/>
            </w:tcMar>
          </w:tcPr>
          <w:p>
            <w:pPr>
              <w:spacing w:after="120"/>
            </w:pPr>
            <w:r>
              <w:rPr>
                <w:rFonts w:ascii="Calibri" w:cs="Calibri" w:eastAsia="Calibri" w:hAnsi="Calibri"/>
                <w:b/>
                <w:bCs/>
                <w:caps/>
                <w:color w:val="94BAF7"/>
                <w:sz w:val="18"/>
                <w:szCs w:val="18"/>
              </w:rPr>
              <w:t xml:space="preserve">PERFORMANCE EVALUATION</w:t>
            </w:r>
          </w:p>
          <w:p>
            <w:pPr>
              <w:spacing w:after="120"/>
            </w:pPr>
            <w:r>
              <w:rPr>
                <w:rFonts w:ascii="Calibri" w:cs="Calibri" w:eastAsia="Calibri" w:hAnsi="Calibri"/>
                <w:b/>
                <w:bCs/>
                <w:color w:val="FFFFFF"/>
                <w:sz w:val="38"/>
                <w:szCs w:val="38"/>
              </w:rPr>
              <w:t xml:space="preserve">Mortgage Affordability Stress Testing</w:t>
            </w:r>
          </w:p>
          <w:p>
            <w:pPr>
              <w:spacing w:after="120"/>
            </w:pPr>
            <w:r>
              <w:rPr>
                <w:rFonts w:ascii="Calibri" w:cs="Calibri" w:eastAsia="Calibri" w:hAnsi="Calibri"/>
                <w:color w:val="94BAF7"/>
                <w:sz w:val="22"/>
                <w:szCs w:val="22"/>
              </w:rPr>
              <w:t xml:space="preserve">Retail Banking — Mortgages  |  RB-CTRL-05</w:t>
            </w:r>
          </w:p>
        </w:tc>
      </w:tr>
    </w:tbl>
    <w:p>
      <w:pPr>
        <w:spacing w:after="1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ID</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RB-CTRL-05</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Name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Mortgage Affordability Stress Testing</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Business Division</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Retail Banking — Mortgages</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Document Type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Performance Evaluation</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Prepared By</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P. Khan, Head of Mortgage Credit Risk</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Review Date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April 15, 2026</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Classification</w:t>
            </w:r>
          </w:p>
        </w:tc>
        <w:tc>
          <w:tcPr>
            <w:tcW w:type="dxa" w:w="6760"/>
            <w:tcBorders>
              <w:top w:val="single" w:color="CBD5E1" w:sz="1"/>
              <w:left w:val="single" w:color="CBD5E1" w:sz="1"/>
              <w:bottom w:val="single" w:color="CBD5E1" w:sz="1"/>
              <w:right w:val="single" w:color="CBD5E1" w:sz="1"/>
            </w:tcBorders>
            <w:shd w:fill="EBF1FC" w:val="clear"/>
            <w:tcMar>
              <w:top w:type="dxa" w:w="80"/>
              <w:left w:type="dxa" w:w="140"/>
              <w:bottom w:type="dxa" w:w="80"/>
              <w:right w:type="dxa" w:w="140"/>
            </w:tcMar>
          </w:tcPr>
          <w:p>
            <w:pPr>
              <w:spacing w:after="120"/>
            </w:pPr>
            <w:r>
              <w:rPr>
                <w:rFonts w:ascii="Calibri" w:cs="Calibri" w:eastAsia="Calibri" w:hAnsi="Calibri"/>
                <w:b/>
                <w:bCs/>
                <w:color w:val="1E4FA8"/>
                <w:sz w:val="20"/>
                <w:szCs w:val="20"/>
              </w:rPr>
              <w:t xml:space="preserve">Adequate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GRC Reference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RCSA-2026-RB-Q2 | ServiceNow / MetricStream</w:t>
            </w:r>
          </w:p>
        </w:tc>
      </w:tr>
    </w:tbl>
    <w:p>
      <w:pPr>
        <w:spacing w:after="100"/>
      </w:pPr>
      <w:r>
        <w:rPr>
          <w:rFonts w:ascii="Calibri" w:cs="Calibri" w:eastAsia="Calibri" w:hAnsi="Calibri"/>
        </w:rPr>
        <w:t xml:space="preserve"/>
      </w:r>
    </w:p>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4"/>
              <w:left w:val="single" w:color="B45309" w:sz="8"/>
              <w:bottom w:val="single" w:color="B45309" w:sz="4"/>
              <w:right w:val="single" w:color="B45309" w:sz="4"/>
            </w:tcBorders>
            <w:shd w:fill="FEF3C7" w:val="clear"/>
            <w:tcMar>
              <w:top w:type="dxa" w:w="100"/>
              <w:left w:type="dxa" w:w="160"/>
              <w:bottom w:type="dxa" w:w="100"/>
              <w:right w:type="dxa" w:w="160"/>
            </w:tcMar>
          </w:tcPr>
          <w:p>
            <w:pPr>
              <w:spacing w:after="120"/>
            </w:pPr>
            <w:r>
              <w:rPr>
                <w:rFonts w:ascii="Calibri" w:cs="Calibri" w:eastAsia="Calibri" w:hAnsi="Calibri"/>
                <w:b/>
                <w:bCs/>
                <w:color w:val="B45309"/>
                <w:sz w:val="20"/>
                <w:szCs w:val="20"/>
              </w:rPr>
              <w:t xml:space="preserve">1.  Assessment Period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Period Covered</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January 1, 2026 — March 31, 2026 (Q1 2026)</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Sample Population</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11,847 mortgage applications submitted</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Sample Tested</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150 applications stratified by product type and outcome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Assessor</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Compliance Retail — A. Williams</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Methodology</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Statistical sampling per ISA 530, supplemented by full-population KRI analysis</w:t>
            </w:r>
          </w:p>
        </w:tc>
      </w:tr>
    </w:tbl>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4"/>
              <w:left w:val="single" w:color="B45309" w:sz="8"/>
              <w:bottom w:val="single" w:color="B45309" w:sz="4"/>
              <w:right w:val="single" w:color="B45309" w:sz="4"/>
            </w:tcBorders>
            <w:shd w:fill="FEF3C7" w:val="clear"/>
            <w:tcMar>
              <w:top w:type="dxa" w:w="100"/>
              <w:left w:type="dxa" w:w="160"/>
              <w:bottom w:type="dxa" w:w="100"/>
              <w:right w:type="dxa" w:w="160"/>
            </w:tcMar>
          </w:tcPr>
          <w:p>
            <w:pPr>
              <w:spacing w:after="120"/>
            </w:pPr>
            <w:r>
              <w:rPr>
                <w:rFonts w:ascii="Calibri" w:cs="Calibri" w:eastAsia="Calibri" w:hAnsi="Calibri"/>
                <w:b/>
                <w:bCs/>
                <w:color w:val="B45309"/>
                <w:sz w:val="20"/>
                <w:szCs w:val="20"/>
              </w:rPr>
              <w:t xml:space="preserve">2.  Quantitative Results — KRI Dashboard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1900"/>
        <w:gridCol w:w="2760"/>
      </w:tblGrid>
      <w:tr>
        <w:tc>
          <w:tcPr>
            <w:tcW w:type="dxa" w:w="3000"/>
            <w:tcBorders>
              <w:top w:val="single" w:color="0F2240" w:sz="1"/>
              <w:left w:val="single" w:color="0F2240" w:sz="1"/>
              <w:bottom w:val="single" w:color="0F2240" w:sz="1"/>
              <w:right w:val="single" w:color="0F2240" w:sz="1"/>
            </w:tcBorders>
            <w:shd w:fill="0F2240" w:val="clear"/>
            <w:tcMar>
              <w:top w:type="dxa" w:w="80"/>
              <w:left w:type="dxa" w:w="120"/>
              <w:bottom w:type="dxa" w:w="80"/>
              <w:right w:type="dxa" w:w="120"/>
            </w:tcMar>
          </w:tcPr>
          <w:p>
            <w:pPr>
              <w:spacing w:after="120"/>
              <w:jc w:val="center"/>
            </w:pPr>
            <w:r>
              <w:rPr>
                <w:rFonts w:ascii="Calibri" w:cs="Calibri" w:eastAsia="Calibri" w:hAnsi="Calibri"/>
                <w:b/>
                <w:bCs/>
                <w:color w:val="FFFFFF"/>
                <w:sz w:val="18"/>
                <w:szCs w:val="18"/>
              </w:rPr>
              <w:t xml:space="preserve">KRI</w:t>
            </w:r>
          </w:p>
        </w:tc>
        <w:tc>
          <w:tcPr>
            <w:tcW w:type="dxa" w:w="1700"/>
            <w:tcBorders>
              <w:top w:val="single" w:color="0F2240" w:sz="1"/>
              <w:left w:val="single" w:color="0F2240" w:sz="1"/>
              <w:bottom w:val="single" w:color="0F2240" w:sz="1"/>
              <w:right w:val="single" w:color="0F2240" w:sz="1"/>
            </w:tcBorders>
            <w:shd w:fill="0F2240" w:val="clear"/>
            <w:tcMar>
              <w:top w:type="dxa" w:w="80"/>
              <w:left w:type="dxa" w:w="120"/>
              <w:bottom w:type="dxa" w:w="80"/>
              <w:right w:type="dxa" w:w="120"/>
            </w:tcMar>
          </w:tcPr>
          <w:p>
            <w:pPr>
              <w:spacing w:after="120"/>
              <w:jc w:val="center"/>
            </w:pPr>
            <w:r>
              <w:rPr>
                <w:rFonts w:ascii="Calibri" w:cs="Calibri" w:eastAsia="Calibri" w:hAnsi="Calibri"/>
                <w:b/>
                <w:bCs/>
                <w:color w:val="FFFFFF"/>
                <w:sz w:val="18"/>
                <w:szCs w:val="18"/>
              </w:rPr>
              <w:t xml:space="preserve">Q1 2026 Value</w:t>
            </w:r>
          </w:p>
        </w:tc>
        <w:tc>
          <w:tcPr>
            <w:tcW w:type="dxa" w:w="1900"/>
            <w:tcBorders>
              <w:top w:val="single" w:color="0F2240" w:sz="1"/>
              <w:left w:val="single" w:color="0F2240" w:sz="1"/>
              <w:bottom w:val="single" w:color="0F2240" w:sz="1"/>
              <w:right w:val="single" w:color="0F2240" w:sz="1"/>
            </w:tcBorders>
            <w:shd w:fill="0F2240" w:val="clear"/>
            <w:tcMar>
              <w:top w:type="dxa" w:w="80"/>
              <w:left w:type="dxa" w:w="120"/>
              <w:bottom w:type="dxa" w:w="80"/>
              <w:right w:type="dxa" w:w="120"/>
            </w:tcMar>
          </w:tcPr>
          <w:p>
            <w:pPr>
              <w:spacing w:after="120"/>
              <w:jc w:val="center"/>
            </w:pPr>
            <w:r>
              <w:rPr>
                <w:rFonts w:ascii="Calibri" w:cs="Calibri" w:eastAsia="Calibri" w:hAnsi="Calibri"/>
                <w:b/>
                <w:bCs/>
                <w:color w:val="FFFFFF"/>
                <w:sz w:val="18"/>
                <w:szCs w:val="18"/>
              </w:rPr>
              <w:t xml:space="preserve">Threshold</w:t>
            </w:r>
          </w:p>
        </w:tc>
        <w:tc>
          <w:tcPr>
            <w:tcW w:type="dxa" w:w="2760"/>
            <w:tcBorders>
              <w:top w:val="single" w:color="0F2240" w:sz="1"/>
              <w:left w:val="single" w:color="0F2240" w:sz="1"/>
              <w:bottom w:val="single" w:color="0F2240" w:sz="1"/>
              <w:right w:val="single" w:color="0F2240" w:sz="1"/>
            </w:tcBorders>
            <w:shd w:fill="0F2240" w:val="clear"/>
            <w:tcMar>
              <w:top w:type="dxa" w:w="80"/>
              <w:left w:type="dxa" w:w="120"/>
              <w:bottom w:type="dxa" w:w="80"/>
              <w:right w:type="dxa" w:w="120"/>
            </w:tcMar>
          </w:tcPr>
          <w:p>
            <w:pPr>
              <w:spacing w:after="120"/>
              <w:jc w:val="center"/>
            </w:pPr>
            <w:r>
              <w:rPr>
                <w:rFonts w:ascii="Calibri" w:cs="Calibri" w:eastAsia="Calibri" w:hAnsi="Calibri"/>
                <w:b/>
                <w:bCs/>
                <w:color w:val="FFFFFF"/>
                <w:sz w:val="18"/>
                <w:szCs w:val="18"/>
              </w:rPr>
              <w:t xml:space="preserve">Status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Applications processed</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11,847</w:t>
            </w:r>
          </w:p>
        </w:tc>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N/A</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Auto-approval rate</w:t>
            </w:r>
          </w:p>
        </w:tc>
        <w:tc>
          <w:tcPr>
            <w:tcW w:type="dxa" w:w="1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68.2%</w:t>
            </w:r>
          </w:p>
        </w:tc>
        <w:tc>
          <w:tcPr>
            <w:tcW w:type="dxa" w:w="1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Target 70%</w:t>
            </w:r>
          </w:p>
        </w:tc>
        <w:tc>
          <w:tcPr>
            <w:tcW w:type="dxa" w:w="2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Below target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Manual referral rate</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27.4%</w:t>
            </w:r>
          </w:p>
        </w:tc>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Target 25%</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Above target</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Manual override rate</w:t>
            </w:r>
          </w:p>
        </w:tc>
        <w:tc>
          <w:tcPr>
            <w:tcW w:type="dxa" w:w="1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4.1%</w:t>
            </w:r>
          </w:p>
        </w:tc>
        <w:tc>
          <w:tcPr>
            <w:tcW w:type="dxa" w:w="1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Amber 3%, Red 5%</w:t>
            </w:r>
          </w:p>
        </w:tc>
        <w:tc>
          <w:tcPr>
            <w:tcW w:type="dxa" w:w="2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Amber</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Decline rate</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4.4%</w:t>
            </w:r>
          </w:p>
        </w:tc>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Target 5%</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Stress margin &lt;5%</w:t>
            </w:r>
          </w:p>
        </w:tc>
        <w:tc>
          <w:tcPr>
            <w:tcW w:type="dxa" w:w="1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9.7%</w:t>
            </w:r>
          </w:p>
        </w:tc>
        <w:tc>
          <w:tcPr>
            <w:tcW w:type="dxa" w:w="1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Amber 12%, Red 18%</w:t>
            </w:r>
          </w:p>
        </w:tc>
        <w:tc>
          <w:tcPr>
            <w:tcW w:type="dxa" w:w="27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pPr>
              <w:spacing w:after="120"/>
            </w:pPr>
            <w:r>
              <w:rPr>
                <w:rFonts w:ascii="Calibri" w:cs="Calibri" w:eastAsia="Calibri" w:hAnsi="Calibri"/>
                <w:b/>
                <w:bCs/>
                <w:color w:val="15803D"/>
                <w:sz w:val="18"/>
                <w:szCs w:val="18"/>
              </w:rPr>
              <w:t xml:space="preserve">Pass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Arrears emergence 24m</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1.2%</w:t>
            </w:r>
          </w:p>
        </w:tc>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Amber 1.5%, Red 2.5%</w:t>
            </w:r>
          </w:p>
        </w:tc>
        <w:tc>
          <w:tcPr>
            <w:tcW w:type="dxa" w:w="27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pPr>
              <w:spacing w:after="120"/>
            </w:pPr>
            <w:r>
              <w:rPr>
                <w:rFonts w:ascii="Calibri" w:cs="Calibri" w:eastAsia="Calibri" w:hAnsi="Calibri"/>
                <w:b/>
                <w:bCs/>
                <w:color w:val="15803D"/>
                <w:sz w:val="18"/>
                <w:szCs w:val="18"/>
              </w:rPr>
              <w:t xml:space="preserve">Pass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SVR currency</w:t>
            </w:r>
          </w:p>
        </w:tc>
        <w:tc>
          <w:tcPr>
            <w:tcW w:type="dxa" w:w="1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33 days</w:t>
            </w:r>
          </w:p>
        </w:tc>
        <w:tc>
          <w:tcPr>
            <w:tcW w:type="dxa" w:w="1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Amber 100, Red 120</w:t>
            </w:r>
          </w:p>
        </w:tc>
        <w:tc>
          <w:tcPr>
            <w:tcW w:type="dxa" w:w="27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pPr>
              <w:spacing w:after="120"/>
            </w:pPr>
            <w:r>
              <w:rPr>
                <w:rFonts w:ascii="Calibri" w:cs="Calibri" w:eastAsia="Calibri" w:hAnsi="Calibri"/>
                <w:b/>
                <w:bCs/>
                <w:color w:val="15803D"/>
                <w:sz w:val="18"/>
                <w:szCs w:val="18"/>
              </w:rPr>
              <w:t xml:space="preserve">Pass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Customer complaints</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11</w:t>
            </w:r>
          </w:p>
        </w:tc>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Amber 15, Red 25</w:t>
            </w:r>
          </w:p>
        </w:tc>
        <w:tc>
          <w:tcPr>
            <w:tcW w:type="dxa" w:w="27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pPr>
              <w:spacing w:after="120"/>
            </w:pPr>
            <w:r>
              <w:rPr>
                <w:rFonts w:ascii="Calibri" w:cs="Calibri" w:eastAsia="Calibri" w:hAnsi="Calibri"/>
                <w:b/>
                <w:bCs/>
                <w:color w:val="15803D"/>
                <w:sz w:val="18"/>
                <w:szCs w:val="18"/>
              </w:rPr>
              <w:t xml:space="preserve">Pass</w:t>
            </w:r>
          </w:p>
        </w:tc>
      </w:tr>
    </w:tbl>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4"/>
              <w:left w:val="single" w:color="B45309" w:sz="8"/>
              <w:bottom w:val="single" w:color="B45309" w:sz="4"/>
              <w:right w:val="single" w:color="B45309" w:sz="4"/>
            </w:tcBorders>
            <w:shd w:fill="FEF3C7" w:val="clear"/>
            <w:tcMar>
              <w:top w:type="dxa" w:w="100"/>
              <w:left w:type="dxa" w:w="160"/>
              <w:bottom w:type="dxa" w:w="100"/>
              <w:right w:type="dxa" w:w="160"/>
            </w:tcMar>
          </w:tcPr>
          <w:p>
            <w:pPr>
              <w:spacing w:after="120"/>
            </w:pPr>
            <w:r>
              <w:rPr>
                <w:rFonts w:ascii="Calibri" w:cs="Calibri" w:eastAsia="Calibri" w:hAnsi="Calibri"/>
                <w:b/>
                <w:bCs/>
                <w:color w:val="B45309"/>
                <w:sz w:val="20"/>
                <w:szCs w:val="20"/>
              </w:rPr>
              <w:t xml:space="preserve">3.  Sample Testing Results</w:t>
            </w:r>
          </w:p>
        </w:tc>
      </w:tr>
    </w:tbl>
    <w:p>
      <w:pPr>
        <w:spacing w:after="120"/>
      </w:pPr>
      <w:r>
        <w:rPr>
          <w:rFonts w:ascii="Calibri" w:cs="Calibri" w:eastAsia="Calibri" w:hAnsi="Calibri"/>
          <w:sz w:val="21"/>
          <w:szCs w:val="21"/>
        </w:rPr>
        <w:t xml:space="preserve">150 mortgage applications were sampled and re-performed independently using parallel calculation in Excel against published parameters. Results:</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Outcome</w:t>
            </w:r>
          </w:p>
        </w:tc>
        <w:tc>
          <w:tcPr>
            <w:tcW w:type="dxa" w:w="616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Count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Calculations matched system output exactly</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147 (98.0%)</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Variance within tolerance (±£25/month payment)</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2 (1.3%)</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Variance exceeded tolerance — investigated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1 (0.7%)</w:t>
            </w:r>
          </w:p>
        </w:tc>
      </w:tr>
    </w:tbl>
    <w:p>
      <w:pPr>
        <w:spacing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8"/>
              <w:left w:val="single" w:color="B45309" w:sz="8"/>
              <w:bottom w:val="single" w:color="B45309" w:sz="8"/>
              <w:right w:val="single" w:color="B45309" w:sz="8"/>
            </w:tcBorders>
            <w:shd w:fill="FEF3C7" w:val="clear"/>
            <w:tcMar>
              <w:top w:type="dxa" w:w="160"/>
              <w:left w:type="dxa" w:w="200"/>
              <w:bottom w:type="dxa" w:w="160"/>
              <w:right w:type="dxa" w:w="200"/>
            </w:tcMar>
          </w:tcPr>
          <w:p>
            <w:pPr>
              <w:spacing w:after="120"/>
            </w:pPr>
            <w:r>
              <w:rPr>
                <w:rFonts w:ascii="Calibri" w:cs="Calibri" w:eastAsia="Calibri" w:hAnsi="Calibri"/>
                <w:color w:val="1E293B"/>
                <w:sz w:val="20"/>
                <w:szCs w:val="20"/>
              </w:rPr>
              <w:t xml:space="preserve">The single tolerance breach (case ref MTG-2026-2891) was traced to an Open Banking income classification — a recurring gig-economy payment had been treated as fixed salary by the income parsing layer. Treated as upstream data quality issue, not a control failure. Referred to Open Banking integration team. INC-2026-0489 raised.</w:t>
            </w:r>
          </w:p>
        </w:tc>
      </w:tr>
    </w:tbl>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4"/>
              <w:left w:val="single" w:color="B45309" w:sz="8"/>
              <w:bottom w:val="single" w:color="B45309" w:sz="4"/>
              <w:right w:val="single" w:color="B45309" w:sz="4"/>
            </w:tcBorders>
            <w:shd w:fill="FEF3C7" w:val="clear"/>
            <w:tcMar>
              <w:top w:type="dxa" w:w="100"/>
              <w:left w:type="dxa" w:w="160"/>
              <w:bottom w:type="dxa" w:w="100"/>
              <w:right w:type="dxa" w:w="160"/>
            </w:tcMar>
          </w:tcPr>
          <w:p>
            <w:pPr>
              <w:spacing w:after="120"/>
            </w:pPr>
            <w:r>
              <w:rPr>
                <w:rFonts w:ascii="Calibri" w:cs="Calibri" w:eastAsia="Calibri" w:hAnsi="Calibri"/>
                <w:b/>
                <w:bCs/>
                <w:color w:val="B45309"/>
                <w:sz w:val="20"/>
                <w:szCs w:val="20"/>
              </w:rPr>
              <w:t xml:space="preserve">4.  Override Justification Review</w:t>
            </w:r>
          </w:p>
        </w:tc>
      </w:tr>
    </w:tbl>
    <w:p>
      <w:pPr>
        <w:spacing w:after="120"/>
      </w:pPr>
      <w:r>
        <w:rPr>
          <w:rFonts w:ascii="Calibri" w:cs="Calibri" w:eastAsia="Calibri" w:hAnsi="Calibri"/>
          <w:sz w:val="21"/>
          <w:szCs w:val="21"/>
        </w:rPr>
        <w:t xml:space="preserve">485 manual overrides were applied in Q1 2026 (4.1% of applications). A stratified sample of 50 was reviewed for the quality of underwriter rationale:</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1700"/>
        <w:gridCol w:w="2860"/>
      </w:tblGrid>
      <w:tr>
        <w:tc>
          <w:tcPr>
            <w:tcW w:type="dxa" w:w="3300"/>
            <w:tcBorders>
              <w:top w:val="single" w:color="0F2240" w:sz="1"/>
              <w:left w:val="single" w:color="0F2240" w:sz="1"/>
              <w:bottom w:val="single" w:color="0F2240" w:sz="1"/>
              <w:right w:val="single" w:color="0F2240" w:sz="1"/>
            </w:tcBorders>
            <w:shd w:fill="0F2240" w:val="clear"/>
            <w:tcMar>
              <w:top w:type="dxa" w:w="80"/>
              <w:left w:type="dxa" w:w="120"/>
              <w:bottom w:type="dxa" w:w="80"/>
              <w:right w:type="dxa" w:w="120"/>
            </w:tcMar>
          </w:tcPr>
          <w:p>
            <w:pPr>
              <w:spacing w:after="120"/>
              <w:jc w:val="center"/>
            </w:pPr>
            <w:r>
              <w:rPr>
                <w:rFonts w:ascii="Calibri" w:cs="Calibri" w:eastAsia="Calibri" w:hAnsi="Calibri"/>
                <w:b/>
                <w:bCs/>
                <w:color w:val="FFFFFF"/>
                <w:sz w:val="18"/>
                <w:szCs w:val="18"/>
              </w:rPr>
              <w:t xml:space="preserve">Rationale Category</w:t>
            </w:r>
          </w:p>
        </w:tc>
        <w:tc>
          <w:tcPr>
            <w:tcW w:type="dxa" w:w="1500"/>
            <w:tcBorders>
              <w:top w:val="single" w:color="0F2240" w:sz="1"/>
              <w:left w:val="single" w:color="0F2240" w:sz="1"/>
              <w:bottom w:val="single" w:color="0F2240" w:sz="1"/>
              <w:right w:val="single" w:color="0F2240" w:sz="1"/>
            </w:tcBorders>
            <w:shd w:fill="0F2240" w:val="clear"/>
            <w:tcMar>
              <w:top w:type="dxa" w:w="80"/>
              <w:left w:type="dxa" w:w="120"/>
              <w:bottom w:type="dxa" w:w="80"/>
              <w:right w:type="dxa" w:w="120"/>
            </w:tcMar>
          </w:tcPr>
          <w:p>
            <w:pPr>
              <w:spacing w:after="120"/>
              <w:jc w:val="center"/>
            </w:pPr>
            <w:r>
              <w:rPr>
                <w:rFonts w:ascii="Calibri" w:cs="Calibri" w:eastAsia="Calibri" w:hAnsi="Calibri"/>
                <w:b/>
                <w:bCs/>
                <w:color w:val="FFFFFF"/>
                <w:sz w:val="18"/>
                <w:szCs w:val="18"/>
              </w:rPr>
              <w:t xml:space="preserve">Count</w:t>
            </w:r>
          </w:p>
        </w:tc>
        <w:tc>
          <w:tcPr>
            <w:tcW w:type="dxa" w:w="1700"/>
            <w:tcBorders>
              <w:top w:val="single" w:color="0F2240" w:sz="1"/>
              <w:left w:val="single" w:color="0F2240" w:sz="1"/>
              <w:bottom w:val="single" w:color="0F2240" w:sz="1"/>
              <w:right w:val="single" w:color="0F2240" w:sz="1"/>
            </w:tcBorders>
            <w:shd w:fill="0F2240" w:val="clear"/>
            <w:tcMar>
              <w:top w:type="dxa" w:w="80"/>
              <w:left w:type="dxa" w:w="120"/>
              <w:bottom w:type="dxa" w:w="80"/>
              <w:right w:type="dxa" w:w="120"/>
            </w:tcMar>
          </w:tcPr>
          <w:p>
            <w:pPr>
              <w:spacing w:after="120"/>
              <w:jc w:val="center"/>
            </w:pPr>
            <w:r>
              <w:rPr>
                <w:rFonts w:ascii="Calibri" w:cs="Calibri" w:eastAsia="Calibri" w:hAnsi="Calibri"/>
                <w:b/>
                <w:bCs/>
                <w:color w:val="FFFFFF"/>
                <w:sz w:val="18"/>
                <w:szCs w:val="18"/>
              </w:rPr>
              <w:t xml:space="preserve">% of Sample</w:t>
            </w:r>
          </w:p>
        </w:tc>
        <w:tc>
          <w:tcPr>
            <w:tcW w:type="dxa" w:w="2860"/>
            <w:tcBorders>
              <w:top w:val="single" w:color="0F2240" w:sz="1"/>
              <w:left w:val="single" w:color="0F2240" w:sz="1"/>
              <w:bottom w:val="single" w:color="0F2240" w:sz="1"/>
              <w:right w:val="single" w:color="0F2240" w:sz="1"/>
            </w:tcBorders>
            <w:shd w:fill="0F2240" w:val="clear"/>
            <w:tcMar>
              <w:top w:type="dxa" w:w="80"/>
              <w:left w:type="dxa" w:w="120"/>
              <w:bottom w:type="dxa" w:w="80"/>
              <w:right w:type="dxa" w:w="120"/>
            </w:tcMar>
          </w:tcPr>
          <w:p>
            <w:pPr>
              <w:spacing w:after="120"/>
              <w:jc w:val="center"/>
            </w:pPr>
            <w:r>
              <w:rPr>
                <w:rFonts w:ascii="Calibri" w:cs="Calibri" w:eastAsia="Calibri" w:hAnsi="Calibri"/>
                <w:b/>
                <w:bCs/>
                <w:color w:val="FFFFFF"/>
                <w:sz w:val="18"/>
                <w:szCs w:val="18"/>
              </w:rPr>
              <w:t xml:space="preserve">Quality Rating</w:t>
            </w:r>
          </w:p>
        </w:tc>
      </w:tr>
      <w:tr>
        <w:tc>
          <w:tcPr>
            <w:tcW w:type="dxa" w:w="3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Income source not captured by standard data feed</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18</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36%</w:t>
            </w:r>
          </w:p>
        </w:tc>
        <w:tc>
          <w:tcPr>
            <w:tcW w:type="dxa" w:w="28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pPr>
              <w:spacing w:after="120"/>
            </w:pPr>
            <w:r>
              <w:rPr>
                <w:rFonts w:ascii="Calibri" w:cs="Calibri" w:eastAsia="Calibri" w:hAnsi="Calibri"/>
                <w:b/>
                <w:bCs/>
                <w:color w:val="15803D"/>
                <w:sz w:val="18"/>
                <w:szCs w:val="18"/>
              </w:rPr>
              <w:t xml:space="preserve">Pass</w:t>
            </w:r>
          </w:p>
        </w:tc>
      </w:tr>
      <w:tr>
        <w:tc>
          <w:tcPr>
            <w:tcW w:type="dxa" w:w="33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Significant deposit/equity buffer</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14</w:t>
            </w:r>
          </w:p>
        </w:tc>
        <w:tc>
          <w:tcPr>
            <w:tcW w:type="dxa" w:w="1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28%</w:t>
            </w:r>
          </w:p>
        </w:tc>
        <w:tc>
          <w:tcPr>
            <w:tcW w:type="dxa" w:w="28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pPr>
              <w:spacing w:after="120"/>
            </w:pPr>
            <w:r>
              <w:rPr>
                <w:rFonts w:ascii="Calibri" w:cs="Calibri" w:eastAsia="Calibri" w:hAnsi="Calibri"/>
                <w:b/>
                <w:bCs/>
                <w:color w:val="15803D"/>
                <w:sz w:val="18"/>
                <w:szCs w:val="18"/>
              </w:rPr>
              <w:t xml:space="preserve">Pass</w:t>
            </w:r>
          </w:p>
        </w:tc>
      </w:tr>
      <w:tr>
        <w:tc>
          <w:tcPr>
            <w:tcW w:type="dxa" w:w="3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Property type adjustment (BTL portfolio borrower)</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9</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18%</w:t>
            </w:r>
          </w:p>
        </w:tc>
        <w:tc>
          <w:tcPr>
            <w:tcW w:type="dxa" w:w="28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pPr>
              <w:spacing w:after="120"/>
            </w:pPr>
            <w:r>
              <w:rPr>
                <w:rFonts w:ascii="Calibri" w:cs="Calibri" w:eastAsia="Calibri" w:hAnsi="Calibri"/>
                <w:b/>
                <w:bCs/>
                <w:color w:val="15803D"/>
                <w:sz w:val="18"/>
                <w:szCs w:val="18"/>
              </w:rPr>
              <w:t xml:space="preserve">Pass</w:t>
            </w:r>
          </w:p>
        </w:tc>
      </w:tr>
      <w:tr>
        <w:tc>
          <w:tcPr>
            <w:tcW w:type="dxa" w:w="33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Existing relationship — historical performance</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6</w:t>
            </w:r>
          </w:p>
        </w:tc>
        <w:tc>
          <w:tcPr>
            <w:tcW w:type="dxa" w:w="1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12%</w:t>
            </w:r>
          </w:p>
        </w:tc>
        <w:tc>
          <w:tcPr>
            <w:tcW w:type="dxa" w:w="28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pPr>
              <w:spacing w:after="120"/>
            </w:pPr>
            <w:r>
              <w:rPr>
                <w:rFonts w:ascii="Calibri" w:cs="Calibri" w:eastAsia="Calibri" w:hAnsi="Calibri"/>
                <w:b/>
                <w:bCs/>
                <w:color w:val="15803D"/>
                <w:sz w:val="18"/>
                <w:szCs w:val="18"/>
              </w:rPr>
              <w:t xml:space="preserve">Pass</w:t>
            </w:r>
          </w:p>
        </w:tc>
      </w:tr>
      <w:tr>
        <w:tc>
          <w:tcPr>
            <w:tcW w:type="dxa" w:w="3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Rationale unclear or insufficiently documented</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3</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6%</w:t>
            </w:r>
          </w:p>
        </w:tc>
        <w:tc>
          <w:tcPr>
            <w:tcW w:type="dxa" w:w="286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spacing w:after="120"/>
            </w:pPr>
            <w:r>
              <w:rPr>
                <w:rFonts w:ascii="Calibri" w:cs="Calibri" w:eastAsia="Calibri" w:hAnsi="Calibri"/>
                <w:b/>
                <w:bCs/>
                <w:color w:val="B91C1C"/>
                <w:sz w:val="18"/>
                <w:szCs w:val="18"/>
              </w:rPr>
              <w:t xml:space="preserve">Fail</w:t>
            </w:r>
          </w:p>
        </w:tc>
      </w:tr>
    </w:tbl>
    <w:p>
      <w:pPr>
        <w:spacing w:after="140"/>
      </w:pPr>
      <w:r>
        <w:rPr>
          <w:rFonts w:ascii="Calibri" w:cs="Calibri" w:eastAsia="Calibri" w:hAnsi="Calibri"/>
        </w:rPr>
        <w:t xml:space="preserve"/>
      </w:r>
    </w:p>
    <w:p>
      <w:pPr>
        <w:spacing w:after="120"/>
      </w:pPr>
      <w:r>
        <w:rPr>
          <w:rFonts w:ascii="Calibri" w:cs="Calibri" w:eastAsia="Calibri" w:hAnsi="Calibri"/>
          <w:sz w:val="21"/>
          <w:szCs w:val="21"/>
        </w:rPr>
        <w:t xml:space="preserve">The 3 cases with insufficient documentation have been raised to Head of Underwriting (case refs MTG-2026-1542, 2104, 2890). All three borrowers are currently performing — no arrears or stress — but the documentation gap is a process weakness.</w:t>
      </w:r>
    </w:p>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4"/>
              <w:left w:val="single" w:color="B45309" w:sz="8"/>
              <w:bottom w:val="single" w:color="B45309" w:sz="4"/>
              <w:right w:val="single" w:color="B45309" w:sz="4"/>
            </w:tcBorders>
            <w:shd w:fill="FEF3C7" w:val="clear"/>
            <w:tcMar>
              <w:top w:type="dxa" w:w="100"/>
              <w:left w:type="dxa" w:w="160"/>
              <w:bottom w:type="dxa" w:w="100"/>
              <w:right w:type="dxa" w:w="160"/>
            </w:tcMar>
          </w:tcPr>
          <w:p>
            <w:pPr>
              <w:spacing w:after="120"/>
            </w:pPr>
            <w:r>
              <w:rPr>
                <w:rFonts w:ascii="Calibri" w:cs="Calibri" w:eastAsia="Calibri" w:hAnsi="Calibri"/>
                <w:b/>
                <w:bCs/>
                <w:color w:val="B45309"/>
                <w:sz w:val="20"/>
                <w:szCs w:val="20"/>
              </w:rPr>
              <w:t xml:space="preserve">5.  Trend Analysis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560"/>
      </w:tblGrid>
      <w:tr>
        <w:tc>
          <w:tcPr>
            <w:tcW w:type="dxa" w:w="2200"/>
            <w:tcBorders>
              <w:top w:val="single" w:color="0F2240" w:sz="1"/>
              <w:left w:val="single" w:color="0F2240" w:sz="1"/>
              <w:bottom w:val="single" w:color="0F2240" w:sz="1"/>
              <w:right w:val="single" w:color="0F2240" w:sz="1"/>
            </w:tcBorders>
            <w:shd w:fill="0F2240" w:val="clear"/>
            <w:tcMar>
              <w:top w:type="dxa" w:w="80"/>
              <w:left w:type="dxa" w:w="120"/>
              <w:bottom w:type="dxa" w:w="80"/>
              <w:right w:type="dxa" w:w="120"/>
            </w:tcMar>
          </w:tcPr>
          <w:p>
            <w:pPr>
              <w:spacing w:after="120"/>
              <w:jc w:val="center"/>
            </w:pPr>
            <w:r>
              <w:rPr>
                <w:rFonts w:ascii="Calibri" w:cs="Calibri" w:eastAsia="Calibri" w:hAnsi="Calibri"/>
                <w:b/>
                <w:bCs/>
                <w:color w:val="FFFFFF"/>
                <w:sz w:val="18"/>
                <w:szCs w:val="18"/>
              </w:rPr>
              <w:t xml:space="preserve">Metric</w:t>
            </w:r>
          </w:p>
        </w:tc>
        <w:tc>
          <w:tcPr>
            <w:tcW w:type="dxa" w:w="2200"/>
            <w:tcBorders>
              <w:top w:val="single" w:color="0F2240" w:sz="1"/>
              <w:left w:val="single" w:color="0F2240" w:sz="1"/>
              <w:bottom w:val="single" w:color="0F2240" w:sz="1"/>
              <w:right w:val="single" w:color="0F2240" w:sz="1"/>
            </w:tcBorders>
            <w:shd w:fill="0F2240" w:val="clear"/>
            <w:tcMar>
              <w:top w:type="dxa" w:w="80"/>
              <w:left w:type="dxa" w:w="120"/>
              <w:bottom w:type="dxa" w:w="80"/>
              <w:right w:type="dxa" w:w="120"/>
            </w:tcMar>
          </w:tcPr>
          <w:p>
            <w:pPr>
              <w:spacing w:after="120"/>
              <w:jc w:val="center"/>
            </w:pPr>
            <w:r>
              <w:rPr>
                <w:rFonts w:ascii="Calibri" w:cs="Calibri" w:eastAsia="Calibri" w:hAnsi="Calibri"/>
                <w:b/>
                <w:bCs/>
                <w:color w:val="FFFFFF"/>
                <w:sz w:val="18"/>
                <w:szCs w:val="18"/>
              </w:rPr>
              <w:t xml:space="preserve">Q3 2025</w:t>
            </w:r>
          </w:p>
        </w:tc>
        <w:tc>
          <w:tcPr>
            <w:tcW w:type="dxa" w:w="2400"/>
            <w:tcBorders>
              <w:top w:val="single" w:color="0F2240" w:sz="1"/>
              <w:left w:val="single" w:color="0F2240" w:sz="1"/>
              <w:bottom w:val="single" w:color="0F2240" w:sz="1"/>
              <w:right w:val="single" w:color="0F2240" w:sz="1"/>
            </w:tcBorders>
            <w:shd w:fill="0F2240" w:val="clear"/>
            <w:tcMar>
              <w:top w:type="dxa" w:w="80"/>
              <w:left w:type="dxa" w:w="120"/>
              <w:bottom w:type="dxa" w:w="80"/>
              <w:right w:type="dxa" w:w="120"/>
            </w:tcMar>
          </w:tcPr>
          <w:p>
            <w:pPr>
              <w:spacing w:after="120"/>
              <w:jc w:val="center"/>
            </w:pPr>
            <w:r>
              <w:rPr>
                <w:rFonts w:ascii="Calibri" w:cs="Calibri" w:eastAsia="Calibri" w:hAnsi="Calibri"/>
                <w:b/>
                <w:bCs/>
                <w:color w:val="FFFFFF"/>
                <w:sz w:val="18"/>
                <w:szCs w:val="18"/>
              </w:rPr>
              <w:t xml:space="preserve">Q4 2025</w:t>
            </w:r>
          </w:p>
        </w:tc>
        <w:tc>
          <w:tcPr>
            <w:tcW w:type="dxa" w:w="2560"/>
            <w:tcBorders>
              <w:top w:val="single" w:color="0F2240" w:sz="1"/>
              <w:left w:val="single" w:color="0F2240" w:sz="1"/>
              <w:bottom w:val="single" w:color="0F2240" w:sz="1"/>
              <w:right w:val="single" w:color="0F2240" w:sz="1"/>
            </w:tcBorders>
            <w:shd w:fill="0F2240" w:val="clear"/>
            <w:tcMar>
              <w:top w:type="dxa" w:w="80"/>
              <w:left w:type="dxa" w:w="120"/>
              <w:bottom w:type="dxa" w:w="80"/>
              <w:right w:type="dxa" w:w="120"/>
            </w:tcMar>
          </w:tcPr>
          <w:p>
            <w:pPr>
              <w:spacing w:after="120"/>
              <w:jc w:val="center"/>
            </w:pPr>
            <w:r>
              <w:rPr>
                <w:rFonts w:ascii="Calibri" w:cs="Calibri" w:eastAsia="Calibri" w:hAnsi="Calibri"/>
                <w:b/>
                <w:bCs/>
                <w:color w:val="FFFFFF"/>
                <w:sz w:val="18"/>
                <w:szCs w:val="18"/>
              </w:rPr>
              <w:t xml:space="preserve">Q1 2026</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Approval Rate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73.1%</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71.8%</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68.2%</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Manual Override %</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2.8%</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3.4%</w:t>
            </w:r>
          </w:p>
        </w:tc>
        <w:tc>
          <w:tcPr>
            <w:tcW w:type="dxa" w:w="2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4.1%</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Arrears 24m</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0.9%</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1.0%</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1.2%</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Customer Complaints</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8</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12</w:t>
            </w:r>
          </w:p>
        </w:tc>
        <w:tc>
          <w:tcPr>
            <w:tcW w:type="dxa" w:w="2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11</w:t>
            </w:r>
          </w:p>
        </w:tc>
      </w:tr>
    </w:tbl>
    <w:p>
      <w:pPr>
        <w:spacing w:after="120"/>
      </w:pPr>
      <w:r>
        <w:rPr>
          <w:rFonts w:ascii="Calibri" w:cs="Calibri" w:eastAsia="Calibri" w:hAnsi="Calibri"/>
        </w:rPr>
        <w:t xml:space="preserve"/>
      </w:r>
    </w:p>
    <w:p>
      <w:pPr>
        <w:spacing w:after="120"/>
      </w:pPr>
      <w:r>
        <w:rPr>
          <w:rFonts w:ascii="Calibri" w:cs="Calibri" w:eastAsia="Calibri" w:hAnsi="Calibri"/>
          <w:sz w:val="21"/>
          <w:szCs w:val="21"/>
        </w:rPr>
        <w:t xml:space="preserve">Trend reflects the Q1 2026 ONS basket update tightening affordability assumptions. Direction is conservative (more borrowers caught by the control), which is appropriate. Arrears emergence is rising but remains within tolerance — the bank is observing this closely as a Consumer Duty foreseeable harm indicator.</w:t>
      </w:r>
    </w:p>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4"/>
              <w:left w:val="single" w:color="B45309" w:sz="8"/>
              <w:bottom w:val="single" w:color="B45309" w:sz="4"/>
              <w:right w:val="single" w:color="B45309" w:sz="4"/>
            </w:tcBorders>
            <w:shd w:fill="FEF3C7" w:val="clear"/>
            <w:tcMar>
              <w:top w:type="dxa" w:w="100"/>
              <w:left w:type="dxa" w:w="160"/>
              <w:bottom w:type="dxa" w:w="100"/>
              <w:right w:type="dxa" w:w="160"/>
            </w:tcMar>
          </w:tcPr>
          <w:p>
            <w:pPr>
              <w:spacing w:after="120"/>
            </w:pPr>
            <w:r>
              <w:rPr>
                <w:rFonts w:ascii="Calibri" w:cs="Calibri" w:eastAsia="Calibri" w:hAnsi="Calibri"/>
                <w:b/>
                <w:bCs/>
                <w:color w:val="B45309"/>
                <w:sz w:val="20"/>
                <w:szCs w:val="20"/>
              </w:rPr>
              <w:t xml:space="preserve">6.  Control Effectiveness Conclusion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600"/>
        <w:gridCol w:w="2260"/>
      </w:tblGrid>
      <w:tr>
        <w:tc>
          <w:tcPr>
            <w:tcW w:type="dxa" w:w="2000"/>
            <w:tcBorders>
              <w:top w:val="single" w:color="0F2240" w:sz="1"/>
              <w:left w:val="single" w:color="0F2240" w:sz="1"/>
              <w:bottom w:val="single" w:color="0F2240" w:sz="1"/>
              <w:right w:val="single" w:color="0F2240" w:sz="1"/>
            </w:tcBorders>
            <w:shd w:fill="0F2240" w:val="clear"/>
            <w:tcMar>
              <w:top w:type="dxa" w:w="80"/>
              <w:left w:type="dxa" w:w="120"/>
              <w:bottom w:type="dxa" w:w="80"/>
              <w:right w:type="dxa" w:w="120"/>
            </w:tcMar>
          </w:tcPr>
          <w:p>
            <w:pPr>
              <w:spacing w:after="120"/>
              <w:jc w:val="center"/>
            </w:pPr>
            <w:r>
              <w:rPr>
                <w:rFonts w:ascii="Calibri" w:cs="Calibri" w:eastAsia="Calibri" w:hAnsi="Calibri"/>
                <w:b/>
                <w:bCs/>
                <w:color w:val="FFFFFF"/>
                <w:sz w:val="18"/>
                <w:szCs w:val="18"/>
              </w:rPr>
              <w:t xml:space="preserve">Dimension</w:t>
            </w:r>
          </w:p>
        </w:tc>
        <w:tc>
          <w:tcPr>
            <w:tcW w:type="dxa" w:w="1500"/>
            <w:tcBorders>
              <w:top w:val="single" w:color="0F2240" w:sz="1"/>
              <w:left w:val="single" w:color="0F2240" w:sz="1"/>
              <w:bottom w:val="single" w:color="0F2240" w:sz="1"/>
              <w:right w:val="single" w:color="0F2240" w:sz="1"/>
            </w:tcBorders>
            <w:shd w:fill="0F2240" w:val="clear"/>
            <w:tcMar>
              <w:top w:type="dxa" w:w="80"/>
              <w:left w:type="dxa" w:w="120"/>
              <w:bottom w:type="dxa" w:w="80"/>
              <w:right w:type="dxa" w:w="120"/>
            </w:tcMar>
          </w:tcPr>
          <w:p>
            <w:pPr>
              <w:spacing w:after="120"/>
              <w:jc w:val="center"/>
            </w:pPr>
            <w:r>
              <w:rPr>
                <w:rFonts w:ascii="Calibri" w:cs="Calibri" w:eastAsia="Calibri" w:hAnsi="Calibri"/>
                <w:b/>
                <w:bCs/>
                <w:color w:val="FFFFFF"/>
                <w:sz w:val="18"/>
                <w:szCs w:val="18"/>
              </w:rPr>
              <w:t xml:space="preserve">Rating</w:t>
            </w:r>
          </w:p>
        </w:tc>
        <w:tc>
          <w:tcPr>
            <w:tcW w:type="dxa" w:w="3600"/>
            <w:tcBorders>
              <w:top w:val="single" w:color="0F2240" w:sz="1"/>
              <w:left w:val="single" w:color="0F2240" w:sz="1"/>
              <w:bottom w:val="single" w:color="0F2240" w:sz="1"/>
              <w:right w:val="single" w:color="0F2240" w:sz="1"/>
            </w:tcBorders>
            <w:shd w:fill="0F2240" w:val="clear"/>
            <w:tcMar>
              <w:top w:type="dxa" w:w="80"/>
              <w:left w:type="dxa" w:w="120"/>
              <w:bottom w:type="dxa" w:w="80"/>
              <w:right w:type="dxa" w:w="120"/>
            </w:tcMar>
          </w:tcPr>
          <w:p>
            <w:pPr>
              <w:spacing w:after="120"/>
              <w:jc w:val="center"/>
            </w:pPr>
            <w:r>
              <w:rPr>
                <w:rFonts w:ascii="Calibri" w:cs="Calibri" w:eastAsia="Calibri" w:hAnsi="Calibri"/>
                <w:b/>
                <w:bCs/>
                <w:color w:val="FFFFFF"/>
                <w:sz w:val="18"/>
                <w:szCs w:val="18"/>
              </w:rPr>
              <w:t xml:space="preserve">Evidence</w:t>
            </w:r>
          </w:p>
        </w:tc>
        <w:tc>
          <w:tcPr>
            <w:tcW w:type="dxa" w:w="2260"/>
            <w:tcBorders>
              <w:top w:val="single" w:color="0F2240" w:sz="1"/>
              <w:left w:val="single" w:color="0F2240" w:sz="1"/>
              <w:bottom w:val="single" w:color="0F2240" w:sz="1"/>
              <w:right w:val="single" w:color="0F2240" w:sz="1"/>
            </w:tcBorders>
            <w:shd w:fill="0F2240" w:val="clear"/>
            <w:tcMar>
              <w:top w:type="dxa" w:w="80"/>
              <w:left w:type="dxa" w:w="120"/>
              <w:bottom w:type="dxa" w:w="80"/>
              <w:right w:type="dxa" w:w="120"/>
            </w:tcMar>
          </w:tcPr>
          <w:p>
            <w:pPr>
              <w:spacing w:after="120"/>
              <w:jc w:val="center"/>
            </w:pPr>
            <w:r>
              <w:rPr>
                <w:rFonts w:ascii="Calibri" w:cs="Calibri" w:eastAsia="Calibri" w:hAnsi="Calibri"/>
                <w:b/>
                <w:bCs/>
                <w:color w:val="FFFFFF"/>
                <w:sz w:val="18"/>
                <w:szCs w:val="18"/>
              </w:rPr>
              <w:t xml:space="preserve">Owner View</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Design</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Strong</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Sample testing 98% match</w:t>
            </w:r>
          </w:p>
        </w:tc>
        <w:tc>
          <w:tcPr>
            <w:tcW w:type="dxa" w:w="2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Agreed</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Operating</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Adequate</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1 amber KRI (override rate)</w:t>
            </w:r>
          </w:p>
        </w:tc>
        <w:tc>
          <w:tcPr>
            <w:tcW w:type="dxa" w:w="22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Agreed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Documentation</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Adequate</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Some override rationales weak</w:t>
            </w:r>
          </w:p>
        </w:tc>
        <w:tc>
          <w:tcPr>
            <w:tcW w:type="dxa" w:w="2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Agreed</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Overall</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Adequate</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Functioning effectively with watch items</w:t>
            </w:r>
          </w:p>
        </w:tc>
        <w:tc>
          <w:tcPr>
            <w:tcW w:type="dxa" w:w="22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Agreed</w:t>
            </w:r>
          </w:p>
        </w:tc>
      </w:tr>
    </w:tbl>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8"/>
              <w:left w:val="single" w:color="B45309" w:sz="8"/>
              <w:bottom w:val="single" w:color="B45309" w:sz="8"/>
              <w:right w:val="single" w:color="B45309" w:sz="8"/>
            </w:tcBorders>
            <w:shd w:fill="FEF3C7" w:val="clear"/>
            <w:tcMar>
              <w:top w:type="dxa" w:w="160"/>
              <w:left w:type="dxa" w:w="200"/>
              <w:bottom w:type="dxa" w:w="160"/>
              <w:right w:type="dxa" w:w="200"/>
            </w:tcMar>
          </w:tcPr>
          <w:p>
            <w:pPr>
              <w:spacing w:after="120"/>
            </w:pPr>
            <w:r>
              <w:rPr>
                <w:rFonts w:ascii="Calibri" w:cs="Calibri" w:eastAsia="Calibri" w:hAnsi="Calibri"/>
                <w:color w:val="1E293B"/>
                <w:sz w:val="20"/>
                <w:szCs w:val="20"/>
              </w:rPr>
              <w:t xml:space="preserve">Conclusion: RB-CTRL-05 is operating effectively. Residual risk rating: Adequate. Two improvement actions raised (override documentation, Open Banking income parsing). No regulatory non-compliance identified. No P1 findings.</w:t>
            </w:r>
          </w:p>
        </w:tc>
      </w:tr>
    </w:tbl>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spacing w:before="80"/>
    </w:pPr>
    <w:r>
      <w:rPr>
        <w:rFonts w:ascii="Calibri" w:cs="Calibri" w:eastAsia="Calibri" w:hAnsi="Calibri"/>
        <w:color w:val="64748B"/>
        <w:sz w:val="17"/>
        <w:szCs w:val="17"/>
      </w:rPr>
      <w:t xml:space="preserve">Confidential — For Internal Use Only     Page </w:t>
    </w:r>
    <w:r>
      <w:rPr>
        <w:rFonts w:ascii="Calibri" w:cs="Calibri" w:eastAsia="Calibri" w:hAnsi="Calibri"/>
        <w:color w:val="64748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single" w:color="1E4FA8" w:sz="6"/>
        <w:right w:val="none" w:color="FFFFFF" w:sz="0"/>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pPr>
          <w:r>
            <w:rPr>
              <w:rFonts w:ascii="Calibri" w:cs="Calibri" w:eastAsia="Calibri" w:hAnsi="Calibri"/>
              <w:b/>
              <w:bCs/>
              <w:color w:val="0F2240"/>
              <w:sz w:val="18"/>
              <w:szCs w:val="18"/>
            </w:rPr>
            <w:t xml:space="preserve">RB-CTRL-05 · Mortgage Affordability Stress Testing  </w:t>
          </w:r>
          <w:r>
            <w:rPr>
              <w:rFonts w:ascii="Calibri" w:cs="Calibri" w:eastAsia="Calibri" w:hAnsi="Calibri"/>
              <w:color w:val="64748B"/>
              <w:sz w:val="18"/>
              <w:szCs w:val="18"/>
            </w:rPr>
            <w:t xml:space="preserve">| Performance Evaluation</w:t>
          </w:r>
        </w:p>
      </w:tc>
      <w:tc>
        <w:tcPr>
          <w:tcW w:type="dxa" w:w="28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jc w:val="right"/>
          </w:pPr>
          <w:r>
            <w:rPr>
              <w:rFonts w:ascii="Calibri" w:cs="Calibri" w:eastAsia="Calibri" w:hAnsi="Calibri"/>
              <w:color w:val="64748B"/>
              <w:sz w:val="16"/>
              <w:szCs w:val="16"/>
            </w:rPr>
            <w:t xml:space="preserve">Global Retail Bank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2026-05-21T12:15:10.303Z</dcterms:created>
  <dcterms:modified xsi:type="dcterms:W3CDTF">2026-05-21T12:15:10.303Z</dcterms:modified>
</cp:coreProperties>
</file>

<file path=docProps/custom.xml><?xml version="1.0" encoding="utf-8"?>
<Properties xmlns="http://schemas.openxmlformats.org/officeDocument/2006/custom-properties" xmlns:vt="http://schemas.openxmlformats.org/officeDocument/2006/docPropsVTypes"/>
</file>