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12"/>
              <w:left w:val="single" w:color="0F2240" w:sz="24"/>
              <w:bottom w:val="single" w:color="1E4FA8" w:sz="12"/>
              <w:right w:val="single" w:color="1E4FA8"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NARRATIVE</w:t>
            </w:r>
          </w:p>
          <w:p>
            <w:pPr>
              <w:spacing w:after="120"/>
            </w:pPr>
            <w:r>
              <w:rPr>
                <w:rFonts w:ascii="Calibri" w:cs="Calibri" w:eastAsia="Calibri" w:hAnsi="Calibri"/>
                <w:b/>
                <w:bCs/>
                <w:color w:val="FFFFFF"/>
                <w:sz w:val="38"/>
                <w:szCs w:val="38"/>
              </w:rPr>
              <w:t xml:space="preserve">Customer Complaint Handling &amp; Root Cause Analysis</w:t>
            </w:r>
          </w:p>
          <w:p>
            <w:pPr>
              <w:spacing w:after="120"/>
            </w:pPr>
            <w:r>
              <w:rPr>
                <w:rFonts w:ascii="Calibri" w:cs="Calibri" w:eastAsia="Calibri" w:hAnsi="Calibri"/>
                <w:color w:val="94BAF7"/>
                <w:sz w:val="22"/>
                <w:szCs w:val="22"/>
              </w:rPr>
              <w:t xml:space="preserve">Retail Banking — Customer Conduct  |  RB-CTRL-07</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RB-CTRL-07</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Customer Complaint Handling &amp; Root Cause Analysis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Retail Banking — Customer Conduct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Narrative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F. Adeyemi, Head of Customer Outcomes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15, 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Adequate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RCSA-2026-RB-Q2 | ServiceNow / MetricStream</w:t>
            </w:r>
          </w:p>
        </w:tc>
      </w:tr>
    </w:tbl>
    <w:p>
      <w:pPr>
        <w:spacing w:after="100"/>
      </w:pPr>
      <w:r>
        <w:rPr>
          <w:rFonts w:ascii="Calibri" w:cs="Calibri" w:eastAsia="Calibri" w:hAnsi="Calibri"/>
        </w:rPr>
        <w:t xml:space="preserve"/>
      </w:r>
    </w:p>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1.  Control Objective</w:t>
            </w:r>
          </w:p>
        </w:tc>
      </w:tr>
    </w:tbl>
    <w:p>
      <w:pPr>
        <w:spacing w:after="120"/>
      </w:pPr>
      <w:r>
        <w:rPr>
          <w:rFonts w:ascii="Calibri" w:cs="Calibri" w:eastAsia="Calibri" w:hAnsi="Calibri"/>
          <w:sz w:val="21"/>
          <w:szCs w:val="21"/>
        </w:rPr>
        <w:t xml:space="preserve">Ensure all customer complaints are captured, investigated, resolved, and analysed for systemic root causes in line with the FCA DISP sourcebook. Outputs from RCA feed Consumer Duty foreseeable harm assessments and product lifecycle reviews.</w:t>
      </w:r>
    </w:p>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2.  Regulatory Drivers</w:t>
            </w:r>
          </w:p>
        </w:tc>
      </w:tr>
    </w:tbl>
    <w:p>
      <w:pPr>
        <w:pStyle w:val="ListParagraph"/>
        <w:numPr>
          <w:ilvl w:val="0"/>
          <w:numId w:val="2"/>
        </w:numPr>
        <w:spacing w:after="80"/>
      </w:pPr>
      <w:r>
        <w:rPr>
          <w:rFonts w:ascii="Calibri" w:cs="Calibri" w:eastAsia="Calibri" w:hAnsi="Calibri"/>
          <w:color w:val="1E293B"/>
          <w:sz w:val="21"/>
          <w:szCs w:val="21"/>
        </w:rPr>
        <w:t xml:space="preserve">FCA DISP 1 — Treating complainants fairly, time limits, redress</w:t>
      </w:r>
    </w:p>
    <w:p>
      <w:pPr>
        <w:pStyle w:val="ListParagraph"/>
        <w:numPr>
          <w:ilvl w:val="0"/>
          <w:numId w:val="2"/>
        </w:numPr>
        <w:spacing w:after="80"/>
      </w:pPr>
      <w:r>
        <w:rPr>
          <w:rFonts w:ascii="Calibri" w:cs="Calibri" w:eastAsia="Calibri" w:hAnsi="Calibri"/>
          <w:color w:val="1E293B"/>
          <w:sz w:val="21"/>
          <w:szCs w:val="21"/>
        </w:rPr>
        <w:t xml:space="preserve">FCA DISP 1.3 — Complaint resolution within 8 weeks (15 business days for payment services)</w:t>
      </w:r>
    </w:p>
    <w:p>
      <w:pPr>
        <w:pStyle w:val="ListParagraph"/>
        <w:numPr>
          <w:ilvl w:val="0"/>
          <w:numId w:val="2"/>
        </w:numPr>
        <w:spacing w:after="80"/>
      </w:pPr>
      <w:r>
        <w:rPr>
          <w:rFonts w:ascii="Calibri" w:cs="Calibri" w:eastAsia="Calibri" w:hAnsi="Calibri"/>
          <w:color w:val="1E293B"/>
          <w:sz w:val="21"/>
          <w:szCs w:val="21"/>
        </w:rPr>
        <w:t xml:space="preserve">FCA Consumer Duty (PRIN 2A) — Use of complaint data to identify foreseeable harm</w:t>
      </w:r>
    </w:p>
    <w:p>
      <w:pPr>
        <w:pStyle w:val="ListParagraph"/>
        <w:numPr>
          <w:ilvl w:val="0"/>
          <w:numId w:val="2"/>
        </w:numPr>
        <w:spacing w:after="80"/>
      </w:pPr>
      <w:r>
        <w:rPr>
          <w:rFonts w:ascii="Calibri" w:cs="Calibri" w:eastAsia="Calibri" w:hAnsi="Calibri"/>
          <w:color w:val="1E293B"/>
          <w:sz w:val="21"/>
          <w:szCs w:val="21"/>
        </w:rPr>
        <w:t xml:space="preserve">FOS (Financial Ombudsman Service) — Eligible complainant referral rights</w:t>
      </w:r>
    </w:p>
    <w:p>
      <w:pPr>
        <w:pStyle w:val="ListParagraph"/>
        <w:numPr>
          <w:ilvl w:val="0"/>
          <w:numId w:val="2"/>
        </w:numPr>
        <w:spacing w:after="80"/>
      </w:pPr>
      <w:r>
        <w:rPr>
          <w:rFonts w:ascii="Calibri" w:cs="Calibri" w:eastAsia="Calibri" w:hAnsi="Calibri"/>
          <w:color w:val="1E293B"/>
          <w:sz w:val="21"/>
          <w:szCs w:val="21"/>
        </w:rPr>
        <w:t xml:space="preserve">Payment Services Regulations 2017 — Reg 101 (15-day resolution requirement for payment complaints)</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3.  Control Description</w:t>
            </w:r>
          </w:p>
        </w:tc>
      </w:tr>
    </w:tbl>
    <w:p>
      <w:pPr>
        <w:spacing w:after="120"/>
      </w:pPr>
      <w:r>
        <w:rPr>
          <w:rFonts w:ascii="Calibri" w:cs="Calibri" w:eastAsia="Calibri" w:hAnsi="Calibri"/>
          <w:sz w:val="21"/>
          <w:szCs w:val="21"/>
        </w:rPr>
        <w:t xml:space="preserve">All customer-raised concerns recorded via the Complaint Capture System (CCS) — branch, contact centre, digital, social media, post, FOS referral. Complaints are classified by Tier (1-3) based on FCA criteria, triaged within 24 hours, allocated to Resolution Specialists, and closed against the customer's right to refer to FOS. Monthly root cause analysis runs against closed complaints to identify thematic issues feeding into product committees and Consumer Duty governance.</w:t>
      </w:r>
    </w:p>
    <w:p>
      <w:pPr>
        <w:spacing w:after="80"/>
      </w:pPr>
      <w:r>
        <w:rPr>
          <w:rFonts w:ascii="Calibri" w:cs="Calibri" w:eastAsia="Calibri" w:hAnsi="Calibri"/>
        </w:rPr>
        <w:t xml:space="preserve"/>
      </w:r>
    </w:p>
    <w:p>
      <w:pPr>
        <w:pStyle w:val="ListParagraph"/>
        <w:numPr>
          <w:ilvl w:val="0"/>
          <w:numId w:val="2"/>
        </w:numPr>
        <w:spacing w:after="80"/>
      </w:pPr>
      <w:r>
        <w:rPr>
          <w:rFonts w:ascii="Calibri" w:cs="Calibri" w:eastAsia="Calibri" w:hAnsi="Calibri"/>
          <w:color w:val="1E293B"/>
          <w:sz w:val="21"/>
          <w:szCs w:val="21"/>
        </w:rPr>
        <w:t xml:space="preserve">T1 Express resolution — same day or next day, simple service issues, no compensation expected</w:t>
      </w:r>
    </w:p>
    <w:p>
      <w:pPr>
        <w:pStyle w:val="ListParagraph"/>
        <w:numPr>
          <w:ilvl w:val="0"/>
          <w:numId w:val="2"/>
        </w:numPr>
        <w:spacing w:after="80"/>
      </w:pPr>
      <w:r>
        <w:rPr>
          <w:rFonts w:ascii="Calibri" w:cs="Calibri" w:eastAsia="Calibri" w:hAnsi="Calibri"/>
          <w:color w:val="1E293B"/>
          <w:sz w:val="21"/>
          <w:szCs w:val="21"/>
        </w:rPr>
        <w:t xml:space="preserve">T2 Standard resolution — within 8 weeks per DISP 1.3, includes investigation and final response letter</w:t>
      </w:r>
    </w:p>
    <w:p>
      <w:pPr>
        <w:pStyle w:val="ListParagraph"/>
        <w:numPr>
          <w:ilvl w:val="0"/>
          <w:numId w:val="2"/>
        </w:numPr>
        <w:spacing w:after="80"/>
      </w:pPr>
      <w:r>
        <w:rPr>
          <w:rFonts w:ascii="Calibri" w:cs="Calibri" w:eastAsia="Calibri" w:hAnsi="Calibri"/>
          <w:color w:val="1E293B"/>
          <w:sz w:val="21"/>
          <w:szCs w:val="21"/>
        </w:rPr>
        <w:t xml:space="preserve">T3 Complex — escalation, often with regulatory dimension, partner review with Compliance</w:t>
      </w:r>
    </w:p>
    <w:p>
      <w:pPr>
        <w:pStyle w:val="ListParagraph"/>
        <w:numPr>
          <w:ilvl w:val="0"/>
          <w:numId w:val="2"/>
        </w:numPr>
        <w:spacing w:after="80"/>
      </w:pPr>
      <w:r>
        <w:rPr>
          <w:rFonts w:ascii="Calibri" w:cs="Calibri" w:eastAsia="Calibri" w:hAnsi="Calibri"/>
          <w:color w:val="1E293B"/>
          <w:sz w:val="21"/>
          <w:szCs w:val="21"/>
        </w:rPr>
        <w:t xml:space="preserve">Final Response Letter (FRL) — generated within 8 weeks confirming resolution, redress amount, FOS rights</w:t>
      </w:r>
    </w:p>
    <w:p>
      <w:pPr>
        <w:pStyle w:val="ListParagraph"/>
        <w:numPr>
          <w:ilvl w:val="0"/>
          <w:numId w:val="2"/>
        </w:numPr>
        <w:spacing w:after="80"/>
      </w:pPr>
      <w:r>
        <w:rPr>
          <w:rFonts w:ascii="Calibri" w:cs="Calibri" w:eastAsia="Calibri" w:hAnsi="Calibri"/>
          <w:color w:val="1E293B"/>
          <w:sz w:val="21"/>
          <w:szCs w:val="21"/>
        </w:rPr>
        <w:t xml:space="preserve">Monthly RCA — Top 10 themes analysed, attributed to product/process/people, fed to Product Committees</w:t>
      </w:r>
    </w:p>
    <w:p>
      <w:pPr>
        <w:spacing w:after="80"/>
      </w:pPr>
      <w:r>
        <w:rPr>
          <w:rFonts w:ascii="Calibri" w:cs="Calibri" w:eastAsia="Calibri" w:hAnsi="Calibri"/>
        </w:rPr>
        <w:t xml:space="preserve"/>
      </w:r>
    </w:p>
    <w:p>
      <w:pPr>
        <w:spacing w:after="120"/>
      </w:pPr>
      <w:r>
        <w:rPr>
          <w:rFonts w:ascii="Calibri" w:cs="Calibri" w:eastAsia="Calibri" w:hAnsi="Calibri"/>
          <w:sz w:val="21"/>
          <w:szCs w:val="21"/>
        </w:rPr>
        <w:t xml:space="preserve">Control covers ~24,000 complaints/year. Heavy automation in T1 with manual investigation for T2 and T3. Recent strengthening: digital complaint origination journey launched January 2026, integrated directly with CCS reducing capture lag.</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4.  Key Risk Indicators (KRIs)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KRI</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Threshold / Trigger</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8-week resolution compliance (DISP 1.3)</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&lt;95% | Red: &lt;90%</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FOS upheld rate (FOS-decided against bank)</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&gt;35% | Red: &gt;45%</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Complaints volume vs prior year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&gt;+10% | Red: &gt;+20%</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Vulnerable customer complaints — average resolution time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&gt;25 days | Red: &gt;35 days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RCA themes identified per quarter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Target: 10+ themes documented</w:t>
            </w:r>
          </w:p>
        </w:tc>
      </w:tr>
    </w:tbl>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5.  Control Frequency &amp; Coverage</w:t>
            </w:r>
          </w:p>
        </w:tc>
      </w:tr>
    </w:tbl>
    <w:p>
      <w:pPr>
        <w:spacing w:after="120"/>
      </w:pPr>
      <w:r>
        <w:rPr>
          <w:rFonts w:ascii="Calibri" w:cs="Calibri" w:eastAsia="Calibri" w:hAnsi="Calibri"/>
          <w:sz w:val="21"/>
          <w:szCs w:val="21"/>
        </w:rPr>
        <w:t xml:space="preserve">Continuous capture; daily triage; monthly RCA reporting; quarterly Consumer Duty foreseeable harm review.</w:t>
      </w:r>
    </w:p>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6.  Roles &amp; Responsibilities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Role</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Responsibility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Resolution Specialists (1st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Investigation, customer contact, FRL drafting</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Customer Outcomes Team (1st Line)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Triage, allocation, SLA management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RCA Analysts (1st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Monthly thematic analysis, product committee reporting</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Conduct Risk (2nd Line)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Quality assurance sampling, FOS data oversight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Internal Audit (3rd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Annual review, last completed Feb 2026 — Adequate rating</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8"/>
              <w:left w:val="single" w:color="1E4FA8" w:sz="8"/>
              <w:bottom w:val="single" w:color="1E4FA8" w:sz="8"/>
              <w:right w:val="single" w:color="1E4FA8" w:sz="8"/>
            </w:tcBorders>
            <w:shd w:fill="EBF1FC" w:val="clear"/>
            <w:tcMar>
              <w:top w:type="dxa" w:w="160"/>
              <w:left w:type="dxa" w:w="200"/>
              <w:bottom w:type="dxa" w:w="160"/>
              <w:right w:type="dxa" w:w="200"/>
            </w:tcMar>
          </w:tcPr>
          <w:p>
            <w:pPr>
              <w:spacing w:after="120"/>
            </w:pPr>
            <w:r>
              <w:rPr>
                <w:rFonts w:ascii="Calibri" w:cs="Calibri" w:eastAsia="Calibri" w:hAnsi="Calibri"/>
                <w:color w:val="1E293B"/>
                <w:sz w:val="20"/>
                <w:szCs w:val="20"/>
              </w:rPr>
              <w:t xml:space="preserve">Control rated Adequate. Core complaint handling well-managed with 96.4% within 8-week SLA. RCA process functioning and feeding Consumer Duty governance. Watch items: FOS upheld rate trending up (currently 32%, up from 28%), and category-specific weaknesses in mortgage complaints (resolution average 6.1 weeks vs 4.2 weeks for other categories).</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RB-CTRL-07 · Customer Complaint Handling &amp; Root Cause Analysis  </w:t>
          </w:r>
          <w:r>
            <w:rPr>
              <w:rFonts w:ascii="Calibri" w:cs="Calibri" w:eastAsia="Calibri" w:hAnsi="Calibri"/>
              <w:color w:val="64748B"/>
              <w:sz w:val="18"/>
              <w:szCs w:val="18"/>
            </w:rPr>
            <w:t xml:space="preserve">| Control Narrative</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Retail Bank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2026-05-21T12:22:19.774Z</dcterms:created>
  <dcterms:modified xsi:type="dcterms:W3CDTF">2026-05-21T12:22:19.774Z</dcterms:modified>
</cp:coreProperties>
</file>

<file path=docProps/custom.xml><?xml version="1.0" encoding="utf-8"?>
<Properties xmlns="http://schemas.openxmlformats.org/officeDocument/2006/custom-properties" xmlns:vt="http://schemas.openxmlformats.org/officeDocument/2006/docPropsVTypes"/>
</file>