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8"/>
                <w:szCs w:val="38"/>
              </w:rPr>
              <w:t xml:space="preserve">Customer Complaint Handling &amp; Root Cause Analysis</w:t>
            </w:r>
          </w:p>
          <w:p>
            <w:pPr>
              <w:spacing w:after="120"/>
            </w:pPr>
            <w:r>
              <w:rPr>
                <w:rFonts w:ascii="Calibri" w:cs="Calibri" w:eastAsia="Calibri" w:hAnsi="Calibri"/>
                <w:color w:val="94BAF7"/>
                <w:sz w:val="22"/>
                <w:szCs w:val="22"/>
              </w:rPr>
              <w:t xml:space="preserve">Retail Banking — Customer Conduct  |  RB-CTRL-07</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RB-CTRL-07</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Customer Complaint Handling &amp; Root Cause Analysis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Customer Conduct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F. Adeyemi, Head of Customer Outcomes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12,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F. Adeyemi, Head of Customer Outcomes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RB-CTRL-07</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of the Customer Complaint Handling &amp; Root Cause Analysis control as documented in the Q2 2026 RCSA refresh. F. Adeyemi, Head of Customer Outcomes confirmed they have been control owner and is supported by their team.</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Recent FOS Upheld Rate Movement</w:t>
      </w:r>
    </w:p>
    <w:p>
      <w:pPr>
        <w:spacing w:after="120"/>
      </w:pPr>
      <w:r>
        <w:rPr>
          <w:rFonts w:ascii="Calibri" w:cs="Calibri" w:eastAsia="Calibri" w:hAnsi="Calibri"/>
          <w:sz w:val="21"/>
          <w:szCs w:val="21"/>
        </w:rPr>
        <w:t xml:space="preserve">Asked about FOS uphold rate rising from 28% (Q4 2024) to 32% (Q1 2026). F. Adeyemi attributed to two factors: (a) 'fairness' interpretations by FOS in Consumer Duty era often differ from technical contractual position, and (b) increased volume of complex mortgage complaints where FOS tends to side with customer on affordability decisions. Investing in pre-FOS technical mortgage panel review to reduce upheld rate.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Mortgage Complaint Resolution Time</w:t>
      </w:r>
    </w:p>
    <w:p>
      <w:pPr>
        <w:spacing w:after="120"/>
      </w:pPr>
      <w:r>
        <w:rPr>
          <w:rFonts w:ascii="Calibri" w:cs="Calibri" w:eastAsia="Calibri" w:hAnsi="Calibri"/>
          <w:sz w:val="21"/>
          <w:szCs w:val="21"/>
        </w:rPr>
        <w:t xml:space="preserve">Mortgage complaints averaging 6.1 weeks vs 4.2 weeks for other product categories. Root cause: mortgage cases require coordination across multiple data sources (origination, valuation, affordability calc) and often involve technical credit decisions requiring Senior Underwriter sign-off. F. Adeyemi commissioned a dedicated Mortgage Resolution Squad — pilot starting May 2026, target reducing average to 5.0 weeks by Q4.</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RCA Themes Feeding Product Governance</w:t>
      </w:r>
    </w:p>
    <w:p>
      <w:pPr>
        <w:spacing w:after="120"/>
      </w:pPr>
      <w:r>
        <w:rPr>
          <w:rFonts w:ascii="Calibri" w:cs="Calibri" w:eastAsia="Calibri" w:hAnsi="Calibri"/>
          <w:sz w:val="21"/>
          <w:szCs w:val="21"/>
        </w:rPr>
        <w:t xml:space="preserve">Q1 2026 RCA identified top themes: (1) Standing order failures during seasonal payment volume — fed back to Operations, (2) Confusion over reward eligibility in revamped current account — fed to Product Committee, (3) Card freeze app issue — IT fix scheduled. F. Adeyemi confident pipeline from RCA to product change is working.</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Vulnerable Customer Complaint Handling</w:t>
      </w:r>
    </w:p>
    <w:p>
      <w:pPr>
        <w:spacing w:after="120"/>
      </w:pPr>
      <w:r>
        <w:rPr>
          <w:rFonts w:ascii="Calibri" w:cs="Calibri" w:eastAsia="Calibri" w:hAnsi="Calibri"/>
          <w:sz w:val="21"/>
          <w:szCs w:val="21"/>
        </w:rPr>
        <w:t xml:space="preserve">Average resolution for vulnerable customer complaints currently 22 days — within green threshold. F. Adeyemi credits Vulnerable Customer Champion programme — every Resolution Specialist trained, dedicated specialist on hand for complex vulnerability cases. Strong link to RB-CTRL-09.</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Digital Channel Capture</w:t>
      </w:r>
    </w:p>
    <w:p>
      <w:pPr>
        <w:spacing w:after="120"/>
      </w:pPr>
      <w:r>
        <w:rPr>
          <w:rFonts w:ascii="Calibri" w:cs="Calibri" w:eastAsia="Calibri" w:hAnsi="Calibri"/>
          <w:sz w:val="21"/>
          <w:szCs w:val="21"/>
        </w:rPr>
        <w:t xml:space="preserve">January 2026 launch of digital complaint origination (app-based and online form) has shifted ~22% of new complaints to digital channel. Reduces capture lag from average 36 hours (contact centre) to under 4 hours. Initially worried about volume increase but volumes flat — appears customers were complaining who previously wouldn't bother.</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Workflow comprehensive, well-integrated with multiple capture channels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 8-week SLA performance; mortgage cohort lagging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Mortgage Squad pilot</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Comprehensive runbooks, training current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RCA &amp; Learning Loop</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RCA themes feeding product changes effectively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Control operating effectively with focused improvement areas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ACT-071: Mortgage Resolution Squad pilot — measure impact on resolution time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 Adeyemi / Sept 30,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ACT-072: Pre-FOS panel review for high-value mortgage cases — quantify FOS reduction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 Adeyemi / Q4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ACT-073: Add affordability-driven complaints into RB-CTRL-05 thematic review</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 Adeyemi + P. Khan / Q3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0F5F4"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at 11:35 BST. Control owner well-organised, demonstrated strong understanding of complaint flow and RCA pipeline. Recommended residual risk rating: ADEQUATE. No P1 actions. Continued focus on FOS upheld trend and mortgage cohort performance.</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RB-CTRL-07 · Customer Complaint Handling &amp; Root Cause Analysis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2026-05-21T12:22:19.888Z</dcterms:created>
  <dcterms:modified xsi:type="dcterms:W3CDTF">2026-05-21T12:22:19.888Z</dcterms:modified>
</cp:coreProperties>
</file>

<file path=docProps/custom.xml><?xml version="1.0" encoding="utf-8"?>
<Properties xmlns="http://schemas.openxmlformats.org/officeDocument/2006/custom-properties" xmlns:vt="http://schemas.openxmlformats.org/officeDocument/2006/docPropsVTypes"/>
</file>