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12"/>
              <w:left w:val="single" w:color="0F2240" w:sz="24"/>
              <w:bottom w:val="single" w:color="0B7A75" w:sz="12"/>
              <w:right w:val="single" w:color="0B7A75"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OWNER INTERVIEW</w:t>
            </w:r>
          </w:p>
          <w:p>
            <w:pPr>
              <w:spacing w:after="120"/>
            </w:pPr>
            <w:r>
              <w:rPr>
                <w:rFonts w:ascii="Calibri" w:cs="Calibri" w:eastAsia="Calibri" w:hAnsi="Calibri"/>
                <w:b/>
                <w:bCs/>
                <w:color w:val="FFFFFF"/>
                <w:sz w:val="38"/>
                <w:szCs w:val="38"/>
              </w:rPr>
              <w:t xml:space="preserve">Vulnerable Customer Identification &amp; Treatment</w:t>
            </w:r>
          </w:p>
          <w:p>
            <w:pPr>
              <w:spacing w:after="120"/>
            </w:pPr>
            <w:r>
              <w:rPr>
                <w:rFonts w:ascii="Calibri" w:cs="Calibri" w:eastAsia="Calibri" w:hAnsi="Calibri"/>
                <w:color w:val="94BAF7"/>
                <w:sz w:val="22"/>
                <w:szCs w:val="22"/>
              </w:rPr>
              <w:t xml:space="preserve">Retail Banking — Customer Conduct  |  RB-CTRL-09</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RB-CTRL-09</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Vulnerable Customer Identification &amp; Treatment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Customer Conduct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Owner Interview</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N. Patel, Head of Vulnerable Customer Strategy</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Weak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Call Details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 · per RCSA-2026-Q2 schedule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Format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Microsoft Teams — recorded with consent</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Interviewer</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 Chen, Senior Risk Analyst (2nd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Interviewee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N. Patel, Head of Vulnerable Customer Strategy (1st Line)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RCSA-2026-Q2 / RB-CTRL-09</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Opening — Control Context</w:t>
            </w:r>
          </w:p>
        </w:tc>
      </w:tr>
    </w:tbl>
    <w:p>
      <w:pPr>
        <w:spacing w:after="120"/>
      </w:pPr>
      <w:r>
        <w:rPr>
          <w:rFonts w:ascii="Calibri" w:cs="Calibri" w:eastAsia="Calibri" w:hAnsi="Calibri"/>
          <w:sz w:val="21"/>
          <w:szCs w:val="21"/>
        </w:rPr>
        <w:t xml:space="preserve">S. Chen opened by confirming the scope of the Vulnerable Customer Identification &amp; Treatment control as documented in the Q2 2026 RCSA refresh. N. Patel, Head of Vulnerable Customer Strategy confirmed they have been control owner and is supported by their team.</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Discussion — Key Topics</w:t>
            </w:r>
          </w:p>
        </w:tc>
      </w:tr>
    </w:tbl>
    <w:p>
      <w:pPr>
        <w:spacing w:after="120"/>
      </w:pPr>
      <w:r>
        <w:rPr>
          <w:rFonts w:ascii="Calibri" w:cs="Calibri" w:eastAsia="Calibri" w:hAnsi="Calibri"/>
          <w:b/>
          <w:bCs/>
          <w:color w:val="0F2240"/>
          <w:sz w:val="21"/>
          <w:szCs w:val="21"/>
        </w:rPr>
        <w:t xml:space="preserve">1. Model Staleness — The Core Weakness</w:t>
      </w:r>
    </w:p>
    <w:p>
      <w:pPr>
        <w:spacing w:after="120"/>
      </w:pPr>
      <w:r>
        <w:rPr>
          <w:rFonts w:ascii="Calibri" w:cs="Calibri" w:eastAsia="Calibri" w:hAnsi="Calibri"/>
          <w:sz w:val="21"/>
          <w:szCs w:val="21"/>
        </w:rPr>
        <w:t xml:space="preserve">N. Patel raised proactively that the inferential model is 24 months past its design review point and badly needs recalibration. Original 2024 model was trained on pre-cost-of-living data. New vulnerability signals (e.g., declining grocery spend, increasing pawnshop transactions, food bank pattern proxies) not represented. Estimated model is missing 15-25% of current vulnerable customer population.</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2. Resource Constraint Explanation</w:t>
      </w:r>
    </w:p>
    <w:p>
      <w:pPr>
        <w:spacing w:after="120"/>
      </w:pPr>
      <w:r>
        <w:rPr>
          <w:rFonts w:ascii="Calibri" w:cs="Calibri" w:eastAsia="Calibri" w:hAnsi="Calibri"/>
          <w:sz w:val="21"/>
          <w:szCs w:val="21"/>
        </w:rPr>
        <w:t xml:space="preserve">Asked why model has been left to drift. N. Patel explained Data Science team supporting Vulnerability has been re-prioritised twice in 2025 — first to support Consumer Duty implementation, then to launch APP fraud detection enhancement. Model recalibration scheduled February 2026 was deferred for Mortgage Affordability ONS basket update prioritisation. Now committed to Q3 2026 delivery.</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3. FCA Consumer Duty Implications</w:t>
      </w:r>
    </w:p>
    <w:p>
      <w:pPr>
        <w:spacing w:after="120"/>
      </w:pPr>
      <w:r>
        <w:rPr>
          <w:rFonts w:ascii="Calibri" w:cs="Calibri" w:eastAsia="Calibri" w:hAnsi="Calibri"/>
          <w:sz w:val="21"/>
          <w:szCs w:val="21"/>
        </w:rPr>
        <w:t xml:space="preserve">N. Patel acknowledged this is a Consumer Duty foreseeable harm concern. By under-identifying vulnerable customers, the bank may be failing the 'avoiding foreseeable harm' standard for those customers who aren't receiving the additional care intended. FCA Vulnerable Customer Outcomes test data due Q4 2026 — Conduct Risk concerned about the disclosure conversation with FCA.</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4. Mitigating Actions Currently In Place</w:t>
      </w:r>
    </w:p>
    <w:p>
      <w:pPr>
        <w:spacing w:after="120"/>
      </w:pPr>
      <w:r>
        <w:rPr>
          <w:rFonts w:ascii="Calibri" w:cs="Calibri" w:eastAsia="Calibri" w:hAnsi="Calibri"/>
          <w:sz w:val="21"/>
          <w:szCs w:val="21"/>
        </w:rPr>
        <w:t xml:space="preserve">Pending model recalibration, bank has: (a) lowered model threshold to increase outreach (10% increase in candidates surfaced, accepting more false positives), (b) deployed enhanced Champion training programme reaching 95% of frontline staff, (c) added vulnerability prompts to high-touch customer journeys (mortgage affordability discussion, persistent debt outreach).</w:t>
      </w:r>
    </w:p>
    <w:p>
      <w:pPr>
        <w:spacing w:after="100"/>
      </w:pPr>
      <w:r>
        <w:rPr>
          <w:rFonts w:ascii="Calibri" w:cs="Calibri" w:eastAsia="Calibri" w:hAnsi="Calibri"/>
        </w:rPr>
        <w:t xml:space="preserve"/>
      </w:r>
    </w:p>
    <w:p>
      <w:pPr>
        <w:spacing w:after="120"/>
      </w:pPr>
      <w:r>
        <w:rPr>
          <w:rFonts w:ascii="Calibri" w:cs="Calibri" w:eastAsia="Calibri" w:hAnsi="Calibri"/>
          <w:b/>
          <w:bCs/>
          <w:color w:val="0F2240"/>
          <w:sz w:val="21"/>
          <w:szCs w:val="21"/>
        </w:rPr>
        <w:t xml:space="preserve">5. Annual Re-confirmation Performance</w:t>
      </w:r>
    </w:p>
    <w:p>
      <w:pPr>
        <w:spacing w:after="120"/>
      </w:pPr>
      <w:r>
        <w:rPr>
          <w:rFonts w:ascii="Calibri" w:cs="Calibri" w:eastAsia="Calibri" w:hAnsi="Calibri"/>
          <w:sz w:val="21"/>
          <w:szCs w:val="21"/>
        </w:rPr>
        <w:t xml:space="preserve">Annual re-confirmation letter sent to 287K flagged customers in January 2026. Response rate: 71% (below 75% target). 29% non-response leaves uncertainty about whether vulnerability still applies. N. Patel: 'A non-response doesn't mean recovered. We assume vulnerability persists and continue special handling until proven otherwise.'</w:t>
      </w:r>
    </w:p>
    <w:p>
      <w:pPr>
        <w:spacing w:after="100"/>
      </w:pPr>
      <w:r>
        <w:rPr>
          <w:rFonts w:ascii="Calibri" w:cs="Calibri" w:eastAsia="Calibri" w:hAnsi="Calibri"/>
        </w:rPr>
        <w:t xml:space="preserve"/>
      </w:r>
    </w:p>
    <w:p>
      <w:pPr>
        <w:spacing w:after="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Control Owner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c>
          <w:tcPr>
            <w:tcW w:type="dxa" w:w="19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Dimension</w:t>
            </w:r>
          </w:p>
        </w:tc>
        <w:tc>
          <w:tcPr>
            <w:tcW w:type="dxa" w:w="15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Owner Rating</w:t>
            </w:r>
          </w:p>
        </w:tc>
        <w:tc>
          <w:tcPr>
            <w:tcW w:type="dxa" w:w="396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Rationale</w:t>
            </w:r>
          </w:p>
        </w:tc>
        <w:tc>
          <w:tcPr>
            <w:tcW w:type="dxa" w:w="2000"/>
            <w:tcBorders>
              <w:top w:val="single" w:color="0F2240" w:sz="1"/>
              <w:left w:val="single" w:color="0F2240" w:sz="1"/>
              <w:bottom w:val="single" w:color="0F2240" w:sz="1"/>
              <w:right w:val="single" w:color="0F2240" w:sz="1"/>
            </w:tcBorders>
            <w:shd w:fill="0F2240" w:val="clear"/>
            <w:tcMar>
              <w:top w:type="dxa" w:w="80"/>
              <w:left w:type="dxa" w:w="120"/>
              <w:bottom w:type="dxa" w:w="80"/>
              <w:right w:type="dxa" w:w="120"/>
            </w:tcMar>
          </w:tcPr>
          <w:p>
            <w:pPr>
              <w:spacing w:after="120"/>
              <w:jc w:val="center"/>
            </w:pPr>
            <w:r>
              <w:rPr>
                <w:rFonts w:ascii="Calibri" w:cs="Calibri" w:eastAsia="Calibri" w:hAnsi="Calibri"/>
                <w:b/>
                <w:bCs/>
                <w:color w:val="FFFFFF"/>
                <w:sz w:val="18"/>
                <w:szCs w:val="18"/>
              </w:rPr>
              <w:t xml:space="preserve">Notes</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Design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Framework comprehensive, but model design predates current environment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Operating Effectiveness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Model staleness materially impacts identification quality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ACT-091 P1</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Documentation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Policy and Champion training comprehensive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Operational Delivery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Adequate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Champions, CCS, support pathways all working well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r>
        <w:tc>
          <w:tcPr>
            <w:tcW w:type="dxa" w:w="1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Overall Self-Assessment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Weak</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Identification weakness is foundational — undermines downstream care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120"/>
            </w:pPr>
            <w:r>
              <w:rPr>
                <w:rFonts w:ascii="Calibri" w:cs="Calibri" w:eastAsia="Calibri" w:hAnsi="Calibri"/>
                <w:b w:val="false"/>
                <w:bCs w:val="false"/>
                <w:color w:val="1E293B"/>
                <w:sz w:val="18"/>
                <w:szCs w:val="18"/>
              </w:rPr>
              <w:t xml:space="preserv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B7A75" w:sz="4"/>
              <w:left w:val="single" w:color="0B7A75" w:sz="8"/>
              <w:bottom w:val="single" w:color="0B7A75" w:sz="4"/>
              <w:right w:val="single" w:color="0B7A75" w:sz="4"/>
            </w:tcBorders>
            <w:shd w:fill="E0F5F4" w:val="clear"/>
            <w:tcMar>
              <w:top w:type="dxa" w:w="100"/>
              <w:left w:type="dxa" w:w="160"/>
              <w:bottom w:type="dxa" w:w="100"/>
              <w:right w:type="dxa" w:w="160"/>
            </w:tcMar>
          </w:tcPr>
          <w:p>
            <w:pPr>
              <w:spacing w:after="120"/>
            </w:pPr>
            <w:r>
              <w:rPr>
                <w:rFonts w:ascii="Calibri" w:cs="Calibri" w:eastAsia="Calibri" w:hAnsi="Calibri"/>
                <w:b/>
                <w:bCs/>
                <w:color w:val="0B7A75"/>
                <w:sz w:val="20"/>
                <w:szCs w:val="20"/>
              </w:rPr>
              <w:t xml:space="preserve">Action Items from Interview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Action</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Owner / Due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ACT-091 (P1): Recalibrate inferential vulnerability model — Q3 2026 delivery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N. Patel / Sept 30,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ACT-092: Cross-functional review with RB-CTRL-06 (overdraft) on vulnerable customer overlap</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N. Patel + L. Thompson / Jun 2026</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ACT-093: Update FCA Consumer Duty foreseeable harm assessment with current limitations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N. Patel / May 31, 2026</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ACT-094: Communicate model status proactively to Internal Audit and Conduct Risk Committee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N. Patel / immediate</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Interview concluded at 13:55 BST. Control owner candid and clear-eyed about the core weakness. Strong commitment to recovery via ACT-091. Recommended residual risk rating: WEAK. P1 action raised. Status monthly to Retail Risk Committee until model recalibrated and validated.</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RB-CTRL-09 · Vulnerable Customer Identification &amp; Treatment  </w:t>
          </w:r>
          <w:r>
            <w:rPr>
              <w:rFonts w:ascii="Calibri" w:cs="Calibri" w:eastAsia="Calibri" w:hAnsi="Calibri"/>
              <w:color w:val="64748B"/>
              <w:sz w:val="18"/>
              <w:szCs w:val="18"/>
            </w:rPr>
            <w:t xml:space="preserve">| Control Owner Interview</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2026-05-21T12:22:20.335Z</dcterms:created>
  <dcterms:modified xsi:type="dcterms:W3CDTF">2026-05-21T12:22:20.335Z</dcterms:modified>
</cp:coreProperties>
</file>

<file path=docProps/custom.xml><?xml version="1.0" encoding="utf-8"?>
<Properties xmlns="http://schemas.openxmlformats.org/officeDocument/2006/custom-properties" xmlns:vt="http://schemas.openxmlformats.org/officeDocument/2006/docPropsVTypes"/>
</file>