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8"/>
                <w:szCs w:val="38"/>
              </w:rPr>
              <w:t xml:space="preserve">Sanctions Screening — Onboarding &amp; Periodic Scanning</w:t>
            </w:r>
          </w:p>
          <w:p>
            <w:pPr>
              <w:spacing w:after="120"/>
            </w:pPr>
            <w:r>
              <w:rPr>
                <w:rFonts w:ascii="Calibri" w:cs="Calibri" w:eastAsia="Calibri" w:hAnsi="Calibri"/>
                <w:color w:val="94BAF7"/>
                <w:sz w:val="22"/>
                <w:szCs w:val="22"/>
              </w:rPr>
              <w:t xml:space="preserve">Retail Banking — Financial Crime  |  RB-CTRL-10</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RB-CTRL-10</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Sanctions Screening — Onboarding &amp; Periodic Scanning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Financial Crime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G. Anjorin, Head of Sanctions Operations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Screen all customers and transactions against current sanctions lists (OFAC, OFSI, EU, UN) to prevent the bank facilitating transactions or relationships with sanctioned persons or entities, in line with strict liability regimes operating in UK and US.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UK Sanctions and Anti-Money Laundering Act 2018 (SAMLA)</w:t>
      </w:r>
    </w:p>
    <w:p>
      <w:pPr>
        <w:pStyle w:val="ListParagraph"/>
        <w:numPr>
          <w:ilvl w:val="0"/>
          <w:numId w:val="2"/>
        </w:numPr>
        <w:spacing w:after="80"/>
      </w:pPr>
      <w:r>
        <w:rPr>
          <w:rFonts w:ascii="Calibri" w:cs="Calibri" w:eastAsia="Calibri" w:hAnsi="Calibri"/>
          <w:color w:val="1E293B"/>
          <w:sz w:val="21"/>
          <w:szCs w:val="21"/>
        </w:rPr>
        <w:t xml:space="preserve">OFSI (UK Office of Financial Sanctions Implementation) — strict liability regime</w:t>
      </w:r>
    </w:p>
    <w:p>
      <w:pPr>
        <w:pStyle w:val="ListParagraph"/>
        <w:numPr>
          <w:ilvl w:val="0"/>
          <w:numId w:val="2"/>
        </w:numPr>
        <w:spacing w:after="80"/>
      </w:pPr>
      <w:r>
        <w:rPr>
          <w:rFonts w:ascii="Calibri" w:cs="Calibri" w:eastAsia="Calibri" w:hAnsi="Calibri"/>
          <w:color w:val="1E293B"/>
          <w:sz w:val="21"/>
          <w:szCs w:val="21"/>
        </w:rPr>
        <w:t xml:space="preserve">US OFAC (Office of Foreign Assets Control) — sanctions list and enforcement</w:t>
      </w:r>
    </w:p>
    <w:p>
      <w:pPr>
        <w:pStyle w:val="ListParagraph"/>
        <w:numPr>
          <w:ilvl w:val="0"/>
          <w:numId w:val="2"/>
        </w:numPr>
        <w:spacing w:after="80"/>
      </w:pPr>
      <w:r>
        <w:rPr>
          <w:rFonts w:ascii="Calibri" w:cs="Calibri" w:eastAsia="Calibri" w:hAnsi="Calibri"/>
          <w:color w:val="1E293B"/>
          <w:sz w:val="21"/>
          <w:szCs w:val="21"/>
        </w:rPr>
        <w:t xml:space="preserve">EU sanctions regulations (multiple)</w:t>
      </w:r>
    </w:p>
    <w:p>
      <w:pPr>
        <w:pStyle w:val="ListParagraph"/>
        <w:numPr>
          <w:ilvl w:val="0"/>
          <w:numId w:val="2"/>
        </w:numPr>
        <w:spacing w:after="80"/>
      </w:pPr>
      <w:r>
        <w:rPr>
          <w:rFonts w:ascii="Calibri" w:cs="Calibri" w:eastAsia="Calibri" w:hAnsi="Calibri"/>
          <w:color w:val="1E293B"/>
          <w:sz w:val="21"/>
          <w:szCs w:val="21"/>
        </w:rPr>
        <w:t xml:space="preserve">UN Security Council Consolidated Sanctions List</w:t>
      </w:r>
    </w:p>
    <w:p>
      <w:pPr>
        <w:pStyle w:val="ListParagraph"/>
        <w:numPr>
          <w:ilvl w:val="0"/>
          <w:numId w:val="2"/>
        </w:numPr>
        <w:spacing w:after="80"/>
      </w:pPr>
      <w:r>
        <w:rPr>
          <w:rFonts w:ascii="Calibri" w:cs="Calibri" w:eastAsia="Calibri" w:hAnsi="Calibri"/>
          <w:color w:val="1E293B"/>
          <w:sz w:val="21"/>
          <w:szCs w:val="21"/>
        </w:rPr>
        <w:t xml:space="preserve">FCA SYSC 6.3 — financial crime systems and controls requirements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Sanctions screening operates at two layers: (1) Customer screening — performed at onboarding via World-Check One integration, then weekly screening of full customer base against incremental list updates, (2) Transaction screening — real-time payment screening for incoming/outgoing wires and SEPA payments against latest sanctions data. True matches escalate to L1 Sanctions Analyst for adjudication, L2 if technical, L3 to MLRO for license/exemption decisions.</w:t>
      </w:r>
    </w:p>
    <w:p>
      <w:pPr>
        <w:spacing w:after="80"/>
      </w:pPr>
      <w:r>
        <w:rPr>
          <w:rFonts w:ascii="Calibri" w:cs="Calibri" w:eastAsia="Calibri" w:hAnsi="Calibri"/>
        </w:rPr>
        <w:t xml:space="preserve"/>
      </w:r>
    </w:p>
    <w:p>
      <w:pPr>
        <w:pStyle w:val="ListParagraph"/>
        <w:numPr>
          <w:ilvl w:val="0"/>
          <w:numId w:val="2"/>
        </w:numPr>
        <w:spacing w:after="80"/>
      </w:pPr>
      <w:r>
        <w:rPr>
          <w:rFonts w:ascii="Calibri" w:cs="Calibri" w:eastAsia="Calibri" w:hAnsi="Calibri"/>
          <w:color w:val="1E293B"/>
          <w:sz w:val="21"/>
          <w:szCs w:val="21"/>
        </w:rPr>
        <w:t xml:space="preserve">Onboarding screening — World-Check One screening of name, DoB, nationality, address</w:t>
      </w:r>
    </w:p>
    <w:p>
      <w:pPr>
        <w:pStyle w:val="ListParagraph"/>
        <w:numPr>
          <w:ilvl w:val="0"/>
          <w:numId w:val="2"/>
        </w:numPr>
        <w:spacing w:after="80"/>
      </w:pPr>
      <w:r>
        <w:rPr>
          <w:rFonts w:ascii="Calibri" w:cs="Calibri" w:eastAsia="Calibri" w:hAnsi="Calibri"/>
          <w:color w:val="1E293B"/>
          <w:sz w:val="21"/>
          <w:szCs w:val="21"/>
        </w:rPr>
        <w:t xml:space="preserve">Weekly batch — full customer base (6.8M customers) screened against list updates (~3,200 list deltas/week)</w:t>
      </w:r>
    </w:p>
    <w:p>
      <w:pPr>
        <w:pStyle w:val="ListParagraph"/>
        <w:numPr>
          <w:ilvl w:val="0"/>
          <w:numId w:val="2"/>
        </w:numPr>
        <w:spacing w:after="80"/>
      </w:pPr>
      <w:r>
        <w:rPr>
          <w:rFonts w:ascii="Calibri" w:cs="Calibri" w:eastAsia="Calibri" w:hAnsi="Calibri"/>
          <w:color w:val="1E293B"/>
          <w:sz w:val="21"/>
          <w:szCs w:val="21"/>
        </w:rPr>
        <w:t xml:space="preserve">Real-time payment screening — every payment instruction screened against current consolidated list</w:t>
      </w:r>
    </w:p>
    <w:p>
      <w:pPr>
        <w:pStyle w:val="ListParagraph"/>
        <w:numPr>
          <w:ilvl w:val="0"/>
          <w:numId w:val="2"/>
        </w:numPr>
        <w:spacing w:after="80"/>
      </w:pPr>
      <w:r>
        <w:rPr>
          <w:rFonts w:ascii="Calibri" w:cs="Calibri" w:eastAsia="Calibri" w:hAnsi="Calibri"/>
          <w:color w:val="1E293B"/>
          <w:sz w:val="21"/>
          <w:szCs w:val="21"/>
        </w:rPr>
        <w:t xml:space="preserve">Match adjudication — L1 (clear/escalate), L2 (technical analyst), L3 (MLRO for licensing decisions)</w:t>
      </w:r>
    </w:p>
    <w:p>
      <w:pPr>
        <w:pStyle w:val="ListParagraph"/>
        <w:numPr>
          <w:ilvl w:val="0"/>
          <w:numId w:val="2"/>
        </w:numPr>
        <w:spacing w:after="80"/>
      </w:pPr>
      <w:r>
        <w:rPr>
          <w:rFonts w:ascii="Calibri" w:cs="Calibri" w:eastAsia="Calibri" w:hAnsi="Calibri"/>
          <w:color w:val="1E293B"/>
          <w:sz w:val="21"/>
          <w:szCs w:val="21"/>
        </w:rPr>
        <w:t xml:space="preserve">Sanctions list ingestion — OFSI/OFAC published lists ingested within 4 hours of publication</w:t>
      </w:r>
    </w:p>
    <w:p>
      <w:pPr>
        <w:spacing w:after="80"/>
      </w:pPr>
      <w:r>
        <w:rPr>
          <w:rFonts w:ascii="Calibri" w:cs="Calibri" w:eastAsia="Calibri" w:hAnsi="Calibri"/>
        </w:rPr>
        <w:t xml:space="preserve"/>
      </w:r>
    </w:p>
    <w:p>
      <w:pPr>
        <w:spacing w:after="120"/>
      </w:pPr>
      <w:r>
        <w:rPr>
          <w:rFonts w:ascii="Calibri" w:cs="Calibri" w:eastAsia="Calibri" w:hAnsi="Calibri"/>
          <w:sz w:val="21"/>
          <w:szCs w:val="21"/>
        </w:rPr>
        <w:t xml:space="preserve">Control well-established. Adequate rating reflects general health with two improvement areas: (1) growing alert volume from World-Check is straining adjudication capacity, (2) list ingestion lag during the Russia/Ukraine sanctions surge in 2022-2024 has been mitigated but the lessons-learned actions are not fully closed.</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Alert adjudication SLA (L1 within 24hrs)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&lt;92% | Red: &lt;85%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List ingestion lag (publication to live)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&gt;6 hours | Red: &gt;12 hours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False positive 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&gt;97% | Red: &gt;98.5%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True positive cases per quarter</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Trend tracking, no specific threshold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Backlog of pending alerts (rolling)</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&gt;500 | Red: &gt;1,000</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Real-time transaction screening (continuous); weekly customer rescreening batches; daily list update ingestion; quarterly RCSA refresh.</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Sanctions Operations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Day-to-day alert handling, L1/L2 adjudication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MLRO (1st Line — SMF17)</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L3 decisions, regulatory engagement, license applications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Financial Crime Strategy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Policy, list management, system configuration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Financial Crime Compliance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Independent assurance, control attestation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review — last completed Jan 2026, Adequate rating</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Control rated Adequate. Core technical infrastructure robust, MLRO governance strong, but operational throughput under pressure from increasing alert volumes (up 22% YoY). Recovery plan via World-Check threshold tuning and L1 automation in flight.</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RB-CTRL-10 · Sanctions Screening — Onboarding &amp; Periodic Scanning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2026-05-21T12:22:20.401Z</dcterms:created>
  <dcterms:modified xsi:type="dcterms:W3CDTF">2026-05-21T12:22:20.401Z</dcterms:modified>
</cp:coreProperties>
</file>

<file path=docProps/custom.xml><?xml version="1.0" encoding="utf-8"?>
<Properties xmlns="http://schemas.openxmlformats.org/officeDocument/2006/custom-properties" xmlns:vt="http://schemas.openxmlformats.org/officeDocument/2006/docPropsVTypes"/>
</file>