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0F2240" w:sz="24"/>
              <w:bottom w:val="single" w:color="B45309" w:sz="12"/>
              <w:right w:val="single" w:color="B45309"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8"/>
                <w:szCs w:val="38"/>
              </w:rPr>
              <w:t xml:space="preserve">Mortgage Valuation Independence &amp; Quality Assurance</w:t>
            </w:r>
          </w:p>
          <w:p>
            <w:pPr>
              <w:spacing w:after="120"/>
            </w:pPr>
            <w:r>
              <w:rPr>
                <w:rFonts w:ascii="Calibri" w:cs="Calibri" w:eastAsia="Calibri" w:hAnsi="Calibri"/>
                <w:color w:val="94BAF7"/>
                <w:sz w:val="22"/>
                <w:szCs w:val="22"/>
              </w:rPr>
              <w:t xml:space="preserve">Retail Banking — Mortgages  |  RB-CTRL-12</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RB-CTRL-12</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Mortgage Valuation Independence &amp; Quality Assurance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 Mortgages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J. Coetzee, Head of Valuations Risk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Ensure all property valuations supporting mortgage credit decisions are independent of borrower/broker influence, conducted by qualified surveyors, and quality-assured to mitigate the risk of inflated or inaccurate valuations driving inappropriate credit decisions.</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RICS Red Book Global 2025 — Valuation standards</w:t>
      </w:r>
    </w:p>
    <w:p>
      <w:pPr>
        <w:pStyle w:val="ListParagraph"/>
        <w:numPr>
          <w:ilvl w:val="0"/>
          <w:numId w:val="2"/>
        </w:numPr>
        <w:spacing w:after="80"/>
      </w:pPr>
      <w:r>
        <w:rPr>
          <w:rFonts w:ascii="Calibri" w:cs="Calibri" w:eastAsia="Calibri" w:hAnsi="Calibri"/>
          <w:color w:val="1E293B"/>
          <w:sz w:val="21"/>
          <w:szCs w:val="21"/>
        </w:rPr>
        <w:t xml:space="preserve">FCA MCOB 6.4 — Property valuations for mortgage purposes</w:t>
      </w:r>
    </w:p>
    <w:p>
      <w:pPr>
        <w:pStyle w:val="ListParagraph"/>
        <w:numPr>
          <w:ilvl w:val="0"/>
          <w:numId w:val="2"/>
        </w:numPr>
        <w:spacing w:after="80"/>
      </w:pPr>
      <w:r>
        <w:rPr>
          <w:rFonts w:ascii="Calibri" w:cs="Calibri" w:eastAsia="Calibri" w:hAnsi="Calibri"/>
          <w:color w:val="1E293B"/>
          <w:sz w:val="21"/>
          <w:szCs w:val="21"/>
        </w:rPr>
        <w:t xml:space="preserve">PRA Supervisory Statement SS20/15 — Lending standards including security valuation</w:t>
      </w:r>
    </w:p>
    <w:p>
      <w:pPr>
        <w:pStyle w:val="ListParagraph"/>
        <w:numPr>
          <w:ilvl w:val="0"/>
          <w:numId w:val="2"/>
        </w:numPr>
        <w:spacing w:after="80"/>
      </w:pPr>
      <w:r>
        <w:rPr>
          <w:rFonts w:ascii="Calibri" w:cs="Calibri" w:eastAsia="Calibri" w:hAnsi="Calibri"/>
          <w:color w:val="1E293B"/>
          <w:sz w:val="21"/>
          <w:szCs w:val="21"/>
        </w:rPr>
        <w:t xml:space="preserve">Bank of England FPC — LTV and lending criteria recommendations</w:t>
      </w:r>
    </w:p>
    <w:p>
      <w:pPr>
        <w:pStyle w:val="ListParagraph"/>
        <w:numPr>
          <w:ilvl w:val="0"/>
          <w:numId w:val="2"/>
        </w:numPr>
        <w:spacing w:after="80"/>
      </w:pPr>
      <w:r>
        <w:rPr>
          <w:rFonts w:ascii="Calibri" w:cs="Calibri" w:eastAsia="Calibri" w:hAnsi="Calibri"/>
          <w:color w:val="1E293B"/>
          <w:sz w:val="21"/>
          <w:szCs w:val="21"/>
        </w:rPr>
        <w:t xml:space="preserve">FOS — Eligible complainant rights on valuation disputes</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The bank uses a panel of approved surveying firms (currently 47 firms) for physical valuations, plus AVM (Automated Valuation Model — Hometrack) for low-LTV remortgage and product transfer scenarios. Surveyor instruction is randomised across the panel by case management system to prevent broker/customer steering. Quality assurance team samples 5% of valuations monthly for independent re-review. Valuations &gt;£1.5M require additional Director-level sign-off and partner firm review.</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Panel management — 47 surveying firms, RICS-regulated, contractual SLAs, performance scorecards</w:t>
      </w:r>
    </w:p>
    <w:p>
      <w:pPr>
        <w:pStyle w:val="ListParagraph"/>
        <w:numPr>
          <w:ilvl w:val="0"/>
          <w:numId w:val="2"/>
        </w:numPr>
        <w:spacing w:after="80"/>
      </w:pPr>
      <w:r>
        <w:rPr>
          <w:rFonts w:ascii="Calibri" w:cs="Calibri" w:eastAsia="Calibri" w:hAnsi="Calibri"/>
          <w:color w:val="1E293B"/>
          <w:sz w:val="21"/>
          <w:szCs w:val="21"/>
        </w:rPr>
        <w:t xml:space="preserve">Random instruction allocation — case management system algorithm prevents steering</w:t>
      </w:r>
    </w:p>
    <w:p>
      <w:pPr>
        <w:pStyle w:val="ListParagraph"/>
        <w:numPr>
          <w:ilvl w:val="0"/>
          <w:numId w:val="2"/>
        </w:numPr>
        <w:spacing w:after="80"/>
      </w:pPr>
      <w:r>
        <w:rPr>
          <w:rFonts w:ascii="Calibri" w:cs="Calibri" w:eastAsia="Calibri" w:hAnsi="Calibri"/>
          <w:color w:val="1E293B"/>
          <w:sz w:val="21"/>
          <w:szCs w:val="21"/>
        </w:rPr>
        <w:t xml:space="preserve">AVM eligibility — LTV ≤75%, product transfer or remortgage with no further advance, value &lt;£1M</w:t>
      </w:r>
    </w:p>
    <w:p>
      <w:pPr>
        <w:pStyle w:val="ListParagraph"/>
        <w:numPr>
          <w:ilvl w:val="0"/>
          <w:numId w:val="2"/>
        </w:numPr>
        <w:spacing w:after="80"/>
      </w:pPr>
      <w:r>
        <w:rPr>
          <w:rFonts w:ascii="Calibri" w:cs="Calibri" w:eastAsia="Calibri" w:hAnsi="Calibri"/>
          <w:color w:val="1E293B"/>
          <w:sz w:val="21"/>
          <w:szCs w:val="21"/>
        </w:rPr>
        <w:t xml:space="preserve">QA sampling — 5% monthly random sample re-reviewed by independent QA surveyor team</w:t>
      </w:r>
    </w:p>
    <w:p>
      <w:pPr>
        <w:pStyle w:val="ListParagraph"/>
        <w:numPr>
          <w:ilvl w:val="0"/>
          <w:numId w:val="2"/>
        </w:numPr>
        <w:spacing w:after="80"/>
      </w:pPr>
      <w:r>
        <w:rPr>
          <w:rFonts w:ascii="Calibri" w:cs="Calibri" w:eastAsia="Calibri" w:hAnsi="Calibri"/>
          <w:color w:val="1E293B"/>
          <w:sz w:val="21"/>
          <w:szCs w:val="21"/>
        </w:rPr>
        <w:t xml:space="preserve">High-value review — &gt;£1.5M dual-review by panel firm + Director of Valuations Risk</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Adequate rating reflects core control functioning well, with one significant concern: a 2025 thematic review identified pattern of valuation accuracy issues from one panel firm (Westmount Surveyors), now under remediation. Two firms removed from panel during 2025 following performance issues. Strict valuation control culture maintained.</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QA sample re-review variance &gt;5%</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&gt;12% | Red: &gt;20%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Panel firm performance scorecard — % &gt;80 score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&lt;90% | Red: &lt;80%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AVM eligibility 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35-45% (balance of speed vs accuracy)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Valuation challenges from underwriters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&gt;250/quarter | Red: &gt;400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Customer complaints citing valuation accuracy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&gt;30/quarter | Red: &gt;50</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Per-application instruction (continuous); monthly QA sampling; quarterly panel scorecard review; annual panel composition review.</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Valuations Operations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Panel management, instruction, fee management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Valuations Risk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QA sampling, panel firm performance, high-value reviews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Mortgage Credit Risk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Use of valuations in credit decision, override management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Operational Risk (2nd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Independent assurance, control attestation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Triennial review — last completed Mar 2025</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Adequate. Architecture sound, QA process effective at identifying performance issues — the Westmount remediation case proves the control is working as designed (variance detected, action taken, customer harm mitigated). Watch items: AVM eligibility expansion proposal under review, broker steering allegations from Q4 2025 fully investigated and closed.</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RB-CTRL-12 · Mortgage Valuation Independence &amp; Quality Assurance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2026-05-21T12:22:20.711Z</dcterms:created>
  <dcterms:modified xsi:type="dcterms:W3CDTF">2026-05-21T12:22:20.711Z</dcterms:modified>
</cp:coreProperties>
</file>

<file path=docProps/custom.xml><?xml version="1.0" encoding="utf-8"?>
<Properties xmlns="http://schemas.openxmlformats.org/officeDocument/2006/custom-properties" xmlns:vt="http://schemas.openxmlformats.org/officeDocument/2006/docPropsVTypes"/>
</file>