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2"/>
              <w:left w:val="single" w:color="0F2240" w:sz="24"/>
              <w:bottom w:val="single" w:color="15803D" w:sz="12"/>
              <w:right w:val="single" w:color="15803D"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Client Money &amp; Custody Asset Protection (CASS)</w:t>
            </w:r>
          </w:p>
          <w:p>
            <w:pPr>
              <w:spacing w:after="120"/>
            </w:pPr>
            <w:r>
              <w:rPr>
                <w:rFonts w:ascii="Calibri" w:cs="Calibri" w:eastAsia="Calibri" w:hAnsi="Calibri"/>
                <w:color w:val="94BAF7"/>
                <w:sz w:val="22"/>
                <w:szCs w:val="22"/>
              </w:rPr>
              <w:t xml:space="preserve">Wealth &amp; Private Banking  |  WM-CTRL-05</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WM-CTRL-05</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Client Money &amp; Custody Asset Protection (CASS)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Wealth &amp; Private Banking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D. Fitzgerald, Head of CASS Oversight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Strong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Protect client money and custody assets in line with the FCA CASS rules, ensuring proper segregation, accurate records, regular reconciliation, and that client assets are returned promptly and in full in the event of firm failure.</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FCA CASS 6 — Custody rules</w:t>
      </w:r>
    </w:p>
    <w:p>
      <w:pPr>
        <w:pStyle w:val="ListParagraph"/>
        <w:numPr>
          <w:ilvl w:val="0"/>
          <w:numId w:val="2"/>
        </w:numPr>
        <w:spacing w:after="80"/>
      </w:pPr>
      <w:r>
        <w:rPr>
          <w:rFonts w:ascii="Calibri" w:cs="Calibri" w:eastAsia="Calibri" w:hAnsi="Calibri"/>
          <w:color w:val="1E293B"/>
          <w:sz w:val="21"/>
          <w:szCs w:val="21"/>
        </w:rPr>
        <w:t xml:space="preserve">FCA CASS 7 — Client money rules</w:t>
      </w:r>
    </w:p>
    <w:p>
      <w:pPr>
        <w:pStyle w:val="ListParagraph"/>
        <w:numPr>
          <w:ilvl w:val="0"/>
          <w:numId w:val="2"/>
        </w:numPr>
        <w:spacing w:after="80"/>
      </w:pPr>
      <w:r>
        <w:rPr>
          <w:rFonts w:ascii="Calibri" w:cs="Calibri" w:eastAsia="Calibri" w:hAnsi="Calibri"/>
          <w:color w:val="1E293B"/>
          <w:sz w:val="21"/>
          <w:szCs w:val="21"/>
        </w:rPr>
        <w:t xml:space="preserve">FCA CASS 7A — Client money distribution</w:t>
      </w:r>
    </w:p>
    <w:p>
      <w:pPr>
        <w:pStyle w:val="ListParagraph"/>
        <w:numPr>
          <w:ilvl w:val="0"/>
          <w:numId w:val="2"/>
        </w:numPr>
        <w:spacing w:after="80"/>
      </w:pPr>
      <w:r>
        <w:rPr>
          <w:rFonts w:ascii="Calibri" w:cs="Calibri" w:eastAsia="Calibri" w:hAnsi="Calibri"/>
          <w:color w:val="1E293B"/>
          <w:sz w:val="21"/>
          <w:szCs w:val="21"/>
        </w:rPr>
        <w:t xml:space="preserve">CASS Resolution Pack requirements</w:t>
      </w:r>
    </w:p>
    <w:p>
      <w:pPr>
        <w:pStyle w:val="ListParagraph"/>
        <w:numPr>
          <w:ilvl w:val="0"/>
          <w:numId w:val="2"/>
        </w:numPr>
        <w:spacing w:after="80"/>
      </w:pPr>
      <w:r>
        <w:rPr>
          <w:rFonts w:ascii="Calibri" w:cs="Calibri" w:eastAsia="Calibri" w:hAnsi="Calibri"/>
          <w:color w:val="1E293B"/>
          <w:sz w:val="21"/>
          <w:szCs w:val="21"/>
        </w:rPr>
        <w:t xml:space="preserve">FCA SUP — CASS audit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Client money held in segregated client bank accounts; custody assets held in segregation or with eligible custodians. Internal and external reconciliations performed daily/per CASS frequency. Client money calculations (the resource vs requirement) performed daily. CASS Resolution Pack maintained. Acknowledgement letters in place for client bank/custody accounts.</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Client money segregation — designated client bank accounts, trust status</w:t>
      </w:r>
    </w:p>
    <w:p>
      <w:pPr>
        <w:pStyle w:val="ListParagraph"/>
        <w:numPr>
          <w:ilvl w:val="0"/>
          <w:numId w:val="2"/>
        </w:numPr>
        <w:spacing w:after="80"/>
      </w:pPr>
      <w:r>
        <w:rPr>
          <w:rFonts w:ascii="Calibri" w:cs="Calibri" w:eastAsia="Calibri" w:hAnsi="Calibri"/>
          <w:color w:val="1E293B"/>
          <w:sz w:val="21"/>
          <w:szCs w:val="21"/>
        </w:rPr>
        <w:t xml:space="preserve">Custody segregation — assets held in client name or pooled with records</w:t>
      </w:r>
    </w:p>
    <w:p>
      <w:pPr>
        <w:pStyle w:val="ListParagraph"/>
        <w:numPr>
          <w:ilvl w:val="0"/>
          <w:numId w:val="2"/>
        </w:numPr>
        <w:spacing w:after="80"/>
      </w:pPr>
      <w:r>
        <w:rPr>
          <w:rFonts w:ascii="Calibri" w:cs="Calibri" w:eastAsia="Calibri" w:hAnsi="Calibri"/>
          <w:color w:val="1E293B"/>
          <w:sz w:val="21"/>
          <w:szCs w:val="21"/>
        </w:rPr>
        <w:t xml:space="preserve">Internal reconciliation — daily client money + custody reconciliation</w:t>
      </w:r>
    </w:p>
    <w:p>
      <w:pPr>
        <w:pStyle w:val="ListParagraph"/>
        <w:numPr>
          <w:ilvl w:val="0"/>
          <w:numId w:val="2"/>
        </w:numPr>
        <w:spacing w:after="80"/>
      </w:pPr>
      <w:r>
        <w:rPr>
          <w:rFonts w:ascii="Calibri" w:cs="Calibri" w:eastAsia="Calibri" w:hAnsi="Calibri"/>
          <w:color w:val="1E293B"/>
          <w:sz w:val="21"/>
          <w:szCs w:val="21"/>
        </w:rPr>
        <w:t xml:space="preserve">External reconciliation — against bank/custodian statements</w:t>
      </w:r>
    </w:p>
    <w:p>
      <w:pPr>
        <w:pStyle w:val="ListParagraph"/>
        <w:numPr>
          <w:ilvl w:val="0"/>
          <w:numId w:val="2"/>
        </w:numPr>
        <w:spacing w:after="80"/>
      </w:pPr>
      <w:r>
        <w:rPr>
          <w:rFonts w:ascii="Calibri" w:cs="Calibri" w:eastAsia="Calibri" w:hAnsi="Calibri"/>
          <w:color w:val="1E293B"/>
          <w:sz w:val="21"/>
          <w:szCs w:val="21"/>
        </w:rPr>
        <w:t xml:space="preserve">CASS calculations — daily client money requirement vs resource</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rated Strong. Robust CASS compliance — daily reconciliations clean, segregation maintained, Resolution Pack current. CASS is a high-scrutiny regulatory area and this control is well-managed. No material weaknesses.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reconciliation breaks aged &gt;1 day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&gt;5 | Red: &gt;10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External reconciliation timeliness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&lt;99% | Red: &lt;97%</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Client money calculation accuracy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CASS acknowledgement letters current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CASS breaches (reportable)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 | Red: &gt;3</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Daily internal and external reconciliations; daily client money calculation; quarterly CASS Resolution Pack review; annual CASS audit.</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CASS Operations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Reconciliations, calculations, segregation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CASS Oversight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CASS governance, breach management, RP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Compliance (2nd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CASS oversight, regulatory liaison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CF10a / CASS Oversight Officer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Regulatory accountability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External CASS Auditor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CASS audit opinion</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8"/>
              <w:right w:val="single" w:color="15803D" w:sz="8"/>
            </w:tcBorders>
            <w:shd w:fill="DCFCE7"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Strong. Daily reconciliations clean, client money calculations accurate, segregation robust, Resolution Pack current, acknowledgement letters complete. Last CASS audit clean. Reference-grade CASS control. No material weaknesses.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WM-CTRL-05 · Client Money &amp; Custody Asset Protection (CASS)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2026-05-25T14:06:39.319Z</dcterms:created>
  <dcterms:modified xsi:type="dcterms:W3CDTF">2026-05-25T14:06:39.319Z</dcterms:modified>
</cp:coreProperties>
</file>

<file path=docProps/custom.xml><?xml version="1.0" encoding="utf-8"?>
<Properties xmlns="http://schemas.openxmlformats.org/officeDocument/2006/custom-properties" xmlns:vt="http://schemas.openxmlformats.org/officeDocument/2006/docPropsVTypes"/>
</file>