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12"/>
              <w:left w:val="single" w:color="0F2240" w:sz="24"/>
              <w:bottom w:val="single" w:color="0B7A75" w:sz="12"/>
              <w:right w:val="single" w:color="0B7A75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CONTROL OWNER INTERVIEW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AML Transaction Monitoring &amp; Source of Funds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WM-CTRL-07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WM-CTRL-07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AML Transaction Monitoring &amp; Source of Funds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 Owner Interview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G. Adeyemi, Head of Wealth Financial Crime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Weak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Call Details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 · per RCSA-2026-Q2 schedule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Format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Microsoft Teams — recorded with consent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S. Chen, Senior Risk Analyst (2nd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Interviewee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G. Adeyemi, Head of Wealth Financial Crime (1st Line)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/ WM-CTRL-07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Opening — Control Context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S. Chen opened by confirming the scope of the AML Transaction Monitoring &amp; Source of Funds control as documented in the Q2 2026 RCSA refresh. G. Adeyemi, Head of Wealth Financial Crime confirmed their ownership and team support.</w:t>
      </w:r>
    </w:p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Discussion — Key Topics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1. Scenario Staleness — Core Weakness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G. Adeyemi opened candidly: the transaction monitoring scenarios were last meaningfully re-tuned in 2024. Since then the wealth book has evolved — more cross-border flows, more complex structures, new product types. The scenarios don't fully reflect current ML typologies. This means some genuine suspicious patterns may not generate alerts. A scenario re-tuning is overdue and now prioritised.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2. Alert Investigation Backlog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Compounding the scenario issue, an alert investigation backlog of ~210 has accumulated (red threshold 300, amber 150). Resource constraints in the financial crime team plus a spike in alerts from a poorly-calibrated scenario. G. Adeyemi prioritising high-risk client and large-value alerts; the backlog is in lower-risk alerts but it's still a weakness.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3. Source of Funds Scrutiny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SoF scrutiny for material transactions runs at 88% completeness (amber). For large or unusual transactions, SoF should be established before processing. The gap is some transactions processed with SoF scrutiny lagging. G. Adeyemi tightening the pre-transaction SoF gate — material transactions should not complete without SoF clearance.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4. SAR Filing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Despite the weaknesses, SAR filing for identified suspicious activity continues — MLRO governance strong. Q1: 8 SARs filed with the NCA, plus 3 DAML (defence against money laundering) requests. G. Adeyemi stressed that where suspicion is identified, it is acted upon properly — the risk is in detection (scenarios) and investigation timeliness (backlog), not in the SAR process itself.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F2240"/>
          <w:sz w:val="21"/>
          <w:szCs w:val="21"/>
        </w:rPr>
        <w:t xml:space="preserve">5. Remediation Plan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Two-track remediation: (1) scenario re-tuning programme — engage vendor and financial crime SME to recalibrate scenarios for current typologies, target Q3 2026; (2) backlog clearance — contractor uplift plus risk-based triage, target backlog within tolerance by Q3. Plus tightening the SoF pre-transaction gate. Weekly tracking to Compliance and MLRO.</w:t>
      </w:r>
    </w:p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Control Owner Self-Assessment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Rating</w:t>
            </w:r>
          </w:p>
        </w:tc>
        <w:tc>
          <w:tcPr>
            <w:tcW w:type="dxa" w:w="39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20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Weak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Scenarios not reflecting current ML typologies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ACT-WM07-1 P1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Weak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~210 alert backlog; SoF gaps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ACT-WM07-2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Procedures current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SAR Process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SAR filing and MLRO governance robust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Weak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Detection + investigation weaknesses material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B7A75" w:sz="4"/>
              <w:left w:val="single" w:color="0B7A75" w:sz="8"/>
              <w:bottom w:val="single" w:color="0B7A75" w:sz="4"/>
              <w:right w:val="single" w:color="0B7A75" w:sz="4"/>
            </w:tcBorders>
            <w:shd w:fill="E0F5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B7A75"/>
                <w:sz w:val="20"/>
                <w:szCs w:val="20"/>
              </w:rPr>
              <w:t xml:space="preserve">Action Items from Interview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6160"/>
            <w:tcBorders>
              <w:top w:val="single" w:color="1E4FA8" w:sz="1"/>
              <w:left w:val="single" w:color="1E4FA8" w:sz="1"/>
              <w:bottom w:val="single" w:color="1E4FA8" w:sz="1"/>
              <w:right w:val="single" w:color="1E4FA8" w:sz="1"/>
            </w:tcBorders>
            <w:shd w:fill="1E4FA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 / Due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ACT-WM07-1 (P1): Re-tune AML monitoring scenarios for current wealth typologies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G. Adeyemi / Q3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ACT-WM07-2: Clear alert investigation backlog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Wealth Financial Crime / Q3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ACT-WM07-3: Tighten source-of-funds pre-transaction gate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G. Adeyemi / Q2 2026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19"/>
                <w:szCs w:val="19"/>
              </w:rPr>
              <w:t xml:space="preserve">ACT-WM07-4: Weekly tracking to Compliance and MLRO until resolved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G. Adeyemi / ongoing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8"/>
              <w:left w:val="single" w:color="B91C1C" w:sz="8"/>
              <w:bottom w:val="single" w:color="B91C1C" w:sz="8"/>
              <w:right w:val="single" w:color="B91C1C" w:sz="8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Interview concluded. Control owner transparent about weaknesses and clear on remediation. SAR process and MLRO governance mitigate the most serious concern, but detection (scenarios) and investigation (backlog) weaknesses give a residual rating of WEAK. P1 action raised. Monthly review to Compliance, MLRO, and Risk Committee.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WM-CTRL-07 · AML Transaction Monitoring &amp; Source of Funds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Control Owner Interview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2026-05-25T14:06:39.650Z</dcterms:created>
  <dcterms:modified xsi:type="dcterms:W3CDTF">2026-05-25T14:06:39.650Z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