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2"/>
              <w:left w:val="single" w:color="0F2240" w:sz="24"/>
              <w:bottom w:val="single" w:color="B45309" w:sz="12"/>
              <w:right w:val="single" w:color="B45309" w:sz="4"/>
            </w:tcBorders>
            <w:shd w:fill="0F2240" w:val="clear"/>
            <w:tcMar>
              <w:top w:type="dxa" w:w="360"/>
              <w:left w:type="dxa" w:w="400"/>
              <w:bottom w:type="dxa" w:w="360"/>
              <w:right w:type="dxa" w:w="4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aps/>
                <w:color w:val="94BAF7"/>
                <w:sz w:val="18"/>
                <w:szCs w:val="18"/>
              </w:rPr>
              <w:t xml:space="preserve">PERFORMANCE EVALUATION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Cross-Border Advice &amp; Regulatory Permissions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color w:val="94BAF7"/>
                <w:sz w:val="22"/>
                <w:szCs w:val="22"/>
              </w:rPr>
              <w:t xml:space="preserve">Wealth &amp; Private Banking  |  WM-CTRL-08</w:t>
            </w:r>
          </w:p>
        </w:tc>
      </w:tr>
    </w:tbl>
    <w:p>
      <w:pPr>
        <w:spacing w:after="1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WM-CTRL-08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Control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Cross-Border Advice &amp; Regulatory Permissions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Business Division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Wealth &amp; Private Banking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Performance Evaluation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M. Schneider, Head of Cross-Border Governance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April 15, 2026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BF1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E4FA8"/>
                <w:sz w:val="20"/>
                <w:szCs w:val="20"/>
              </w:rPr>
              <w:t xml:space="preserve">Adequate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GRC Reference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RCSA-2026-Q2 | ServiceNow / MetricStream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1.  Assessment Period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Period Covered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Q1 2026 (Jan 1 — Mar 31, 2026)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Sample Population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cross-border activity + 60 reverse solicitation/jurisdiction sample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Full activity scope analysis + reverse solicitation review + jurisdiction data audit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0F2240"/>
                <w:sz w:val="20"/>
                <w:szCs w:val="20"/>
              </w:rPr>
              <w:t xml:space="preserve">Assessor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Compliance Cross-Border Assurance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2.  Quantitative Results — KRI Dashboard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800"/>
        <w:gridCol w:w="1900"/>
        <w:gridCol w:w="2560"/>
      </w:tblGrid>
      <w:tr>
        <w:tc>
          <w:tcPr>
            <w:tcW w:type="dxa" w:w="31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 / Metric</w:t>
            </w:r>
          </w:p>
        </w:tc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Q1 2026 Value</w:t>
            </w:r>
          </w:p>
        </w:tc>
        <w:tc>
          <w:tcPr>
            <w:tcW w:type="dxa" w:w="19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25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Activity within permitted scope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98.6%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&lt;98%, Red &lt;95%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Reverse solicitation documentation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86%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&lt;90%, Red &lt;80%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Jurisdiction data accuracy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96%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&lt;97%, Red &lt;94%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Country matrix currency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Current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Annual + on change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3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Cross-border breaches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Amber &gt;2, Red &gt;5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3.  Detailed Findings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1.</w:t>
      </w:r>
      <w:r>
        <w:rPr>
          <w:rFonts w:ascii="Calibri" w:cs="Calibri" w:eastAsia="Calibri" w:hAnsi="Calibri"/>
          <w:sz w:val="21"/>
          <w:szCs w:val="21"/>
        </w:rPr>
        <w:t xml:space="preserve"> Activity within permitted scope 98.6% — strong country matrix enforcement. One minor breach (a marketing communication to a restricted jurisdiction), remediated.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2.</w:t>
      </w:r>
      <w:r>
        <w:rPr>
          <w:rFonts w:ascii="Calibri" w:cs="Calibri" w:eastAsia="Calibri" w:hAnsi="Calibri"/>
          <w:sz w:val="21"/>
          <w:szCs w:val="21"/>
        </w:rPr>
        <w:t xml:space="preserve"> Reverse solicitation documentation at 86% (amber) — reliance on reverse solicitation not always robustly documented. Post-Brexit higher-risk. Standards tightening (ACT-WM08-1).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Finding 3.</w:t>
      </w:r>
      <w:r>
        <w:rPr>
          <w:rFonts w:ascii="Calibri" w:cs="Calibri" w:eastAsia="Calibri" w:hAnsi="Calibri"/>
          <w:sz w:val="21"/>
          <w:szCs w:val="21"/>
        </w:rPr>
        <w:t xml:space="preserve"> Client jurisdiction data 96% accurate — jurisdiction-change detection relies partly on client disclosure. Enhancement being explored. New jurisdiction governance disciplined.</w:t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8"/>
              <w:bottom w:val="single" w:color="B45309" w:sz="4"/>
              <w:right w:val="single" w:color="B45309" w:sz="4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20"/>
                <w:szCs w:val="20"/>
              </w:rPr>
              <w:t xml:space="preserve">4.  Control Effectiveness Conclusion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3800"/>
        <w:gridCol w:w="2260"/>
      </w:tblGrid>
      <w:tr>
        <w:tc>
          <w:tcPr>
            <w:tcW w:type="dxa" w:w="1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5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  <w:tc>
          <w:tcPr>
            <w:tcW w:type="dxa" w:w="380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2260"/>
            <w:tcBorders>
              <w:top w:val="single" w:color="0F2240" w:sz="1"/>
              <w:left w:val="single" w:color="0F2240" w:sz="1"/>
              <w:bottom w:val="single" w:color="0F2240" w:sz="1"/>
              <w:right w:val="single" w:color="0F2240" w:sz="1"/>
            </w:tcBorders>
            <w:shd w:fill="0F22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 View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Design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Country matrix governance robust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Operating Effectiveness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Scope compliance strong; reverse solicitation + jurisdiction-change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Matrix documented; reverse solicitation docs need rigour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Governance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New jurisdiction approval disciplined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Overall Self-Assessment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Adequate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Strong matrix; reverse solicitation + jurisdiction detection focus</w:t>
            </w:r>
          </w:p>
        </w:tc>
        <w:tc>
          <w:tcPr>
            <w:tcW w:type="dxa" w:w="2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8"/>
                <w:szCs w:val="18"/>
              </w:rPr>
              <w:t xml:space="preserve">Agreed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8"/>
              <w:left w:val="single" w:color="B45309" w:sz="8"/>
              <w:bottom w:val="single" w:color="B45309" w:sz="8"/>
              <w:right w:val="single" w:color="B45309" w:sz="8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Conclusion: WM-CTRL-08 operating effectively. Residual risk rating: ADEQUATE. Strong country matrix governance. Reverse solicitation documentation and jurisdiction-change detection the refinement areas. No material findings.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1"/>
      </w:pBdr>
      <w:spacing w:before="80"/>
    </w:pPr>
    <w:r>
      <w:rPr>
        <w:rFonts w:ascii="Calibri" w:cs="Calibri" w:eastAsia="Calibri" w:hAnsi="Calibri"/>
        <w:color w:val="64748B"/>
        <w:sz w:val="17"/>
        <w:szCs w:val="17"/>
      </w:rPr>
      <w:t xml:space="preserve">Confidential — For Internal Use Only   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1E4FA8" w:sz="6"/>
        <w:right w:val="none" w:color="FFFFFF" w:sz="0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</w:pPr>
          <w:r>
            <w:rPr>
              <w:rFonts w:ascii="Calibri" w:cs="Calibri" w:eastAsia="Calibri" w:hAnsi="Calibri"/>
              <w:b/>
              <w:bCs/>
              <w:color w:val="0F2240"/>
              <w:sz w:val="18"/>
              <w:szCs w:val="18"/>
            </w:rPr>
            <w:t xml:space="preserve">WM-CTRL-08 · Cross-Border Advice &amp; Regulatory Permissions  </w:t>
          </w:r>
          <w:r>
            <w:rPr>
              <w:rFonts w:ascii="Calibri" w:cs="Calibri" w:eastAsia="Calibri" w:hAnsi="Calibri"/>
              <w:color w:val="64748B"/>
              <w:sz w:val="18"/>
              <w:szCs w:val="18"/>
            </w:rPr>
            <w:t xml:space="preserve">| Performance Evaluation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20"/>
            <w:jc w:val="right"/>
          </w:pPr>
          <w:r>
            <w:rPr>
              <w:rFonts w:ascii="Calibri" w:cs="Calibri" w:eastAsia="Calibri" w:hAnsi="Calibri"/>
              <w:color w:val="64748B"/>
              <w:sz w:val="16"/>
              <w:szCs w:val="16"/>
            </w:rPr>
            <w:t xml:space="preserve">Global Bank Group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2026-05-25T14:06:39.771Z</dcterms:created>
  <dcterms:modified xsi:type="dcterms:W3CDTF">2026-05-25T14:06:39.771Z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