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12"/>
              <w:left w:val="single" w:color="0F2240" w:sz="24"/>
              <w:bottom w:val="single" w:color="1E4FA8" w:sz="12"/>
              <w:right w:val="single" w:color="1E4FA8"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NARRATIVE</w:t>
            </w:r>
          </w:p>
          <w:p>
            <w:pPr>
              <w:spacing w:after="120"/>
            </w:pPr>
            <w:r>
              <w:rPr>
                <w:rFonts w:ascii="Calibri" w:cs="Calibri" w:eastAsia="Calibri" w:hAnsi="Calibri"/>
                <w:b/>
                <w:bCs/>
                <w:color w:val="FFFFFF"/>
                <w:sz w:val="36"/>
                <w:szCs w:val="36"/>
              </w:rPr>
              <w:t xml:space="preserve">Product Governance &amp; Target Market Alignment</w:t>
            </w:r>
          </w:p>
          <w:p>
            <w:pPr>
              <w:spacing w:after="120"/>
            </w:pPr>
            <w:r>
              <w:rPr>
                <w:rFonts w:ascii="Calibri" w:cs="Calibri" w:eastAsia="Calibri" w:hAnsi="Calibri"/>
                <w:color w:val="94BAF7"/>
                <w:sz w:val="22"/>
                <w:szCs w:val="22"/>
              </w:rPr>
              <w:t xml:space="preserve">Wealth &amp; Private Banking  |  WM-CTRL-10</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WM-CTRL-10</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Product Governance &amp; Target Market Alignment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Wealth &amp; Private Banking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T. Nilsson, Head of Product Governance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Control Objective</w:t>
            </w:r>
          </w:p>
        </w:tc>
      </w:tr>
    </w:tbl>
    <w:p>
      <w:pPr>
        <w:spacing w:after="120"/>
      </w:pPr>
      <w:r>
        <w:rPr>
          <w:rFonts w:ascii="Calibri" w:cs="Calibri" w:eastAsia="Calibri" w:hAnsi="Calibri"/>
          <w:sz w:val="21"/>
          <w:szCs w:val="21"/>
        </w:rPr>
        <w:t xml:space="preserve">Ensure investment products distributed to wealth clients are governed through their lifecycle, have a defined target market, and are distributed only to clients within that target market, in line with MiFID II product governance (PROD) and Consumer Duty products and services outcome.</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Regulatory Drivers</w:t>
            </w:r>
          </w:p>
        </w:tc>
      </w:tr>
    </w:tbl>
    <w:p>
      <w:pPr>
        <w:pStyle w:val="ListParagraph"/>
        <w:numPr>
          <w:ilvl w:val="0"/>
          <w:numId w:val="2"/>
        </w:numPr>
        <w:spacing w:after="80"/>
      </w:pPr>
      <w:r>
        <w:rPr>
          <w:rFonts w:ascii="Calibri" w:cs="Calibri" w:eastAsia="Calibri" w:hAnsi="Calibri"/>
          <w:color w:val="1E293B"/>
          <w:sz w:val="21"/>
          <w:szCs w:val="21"/>
        </w:rPr>
        <w:t xml:space="preserve">MiFID II — product governance (manufacturer/distributor obligations)</w:t>
      </w:r>
    </w:p>
    <w:p>
      <w:pPr>
        <w:pStyle w:val="ListParagraph"/>
        <w:numPr>
          <w:ilvl w:val="0"/>
          <w:numId w:val="2"/>
        </w:numPr>
        <w:spacing w:after="80"/>
      </w:pPr>
      <w:r>
        <w:rPr>
          <w:rFonts w:ascii="Calibri" w:cs="Calibri" w:eastAsia="Calibri" w:hAnsi="Calibri"/>
          <w:color w:val="1E293B"/>
          <w:sz w:val="21"/>
          <w:szCs w:val="21"/>
        </w:rPr>
        <w:t xml:space="preserve">FCA PROD — product governance sourcebook</w:t>
      </w:r>
    </w:p>
    <w:p>
      <w:pPr>
        <w:pStyle w:val="ListParagraph"/>
        <w:numPr>
          <w:ilvl w:val="0"/>
          <w:numId w:val="2"/>
        </w:numPr>
        <w:spacing w:after="80"/>
      </w:pPr>
      <w:r>
        <w:rPr>
          <w:rFonts w:ascii="Calibri" w:cs="Calibri" w:eastAsia="Calibri" w:hAnsi="Calibri"/>
          <w:color w:val="1E293B"/>
          <w:sz w:val="21"/>
          <w:szCs w:val="21"/>
        </w:rPr>
        <w:t xml:space="preserve">FCA Consumer Duty — products and services outcome</w:t>
      </w:r>
    </w:p>
    <w:p>
      <w:pPr>
        <w:pStyle w:val="ListParagraph"/>
        <w:numPr>
          <w:ilvl w:val="0"/>
          <w:numId w:val="2"/>
        </w:numPr>
        <w:spacing w:after="80"/>
      </w:pPr>
      <w:r>
        <w:rPr>
          <w:rFonts w:ascii="Calibri" w:cs="Calibri" w:eastAsia="Calibri" w:hAnsi="Calibri"/>
          <w:color w:val="1E293B"/>
          <w:sz w:val="21"/>
          <w:szCs w:val="21"/>
        </w:rPr>
        <w:t xml:space="preserve">FCA SDR — sustainability disclosure (for ESG products)</w:t>
      </w:r>
    </w:p>
    <w:p>
      <w:pPr>
        <w:pStyle w:val="ListParagraph"/>
        <w:numPr>
          <w:ilvl w:val="0"/>
          <w:numId w:val="2"/>
        </w:numPr>
        <w:spacing w:after="80"/>
      </w:pPr>
      <w:r>
        <w:rPr>
          <w:rFonts w:ascii="Calibri" w:cs="Calibri" w:eastAsia="Calibri" w:hAnsi="Calibri"/>
          <w:color w:val="1E293B"/>
          <w:sz w:val="21"/>
          <w:szCs w:val="21"/>
        </w:rPr>
        <w:t xml:space="preserve">Consumer Duty fair value framework</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Control Description</w:t>
            </w:r>
          </w:p>
        </w:tc>
      </w:tr>
    </w:tbl>
    <w:p>
      <w:pPr>
        <w:spacing w:after="120"/>
      </w:pPr>
      <w:r>
        <w:rPr>
          <w:rFonts w:ascii="Calibri" w:cs="Calibri" w:eastAsia="Calibri" w:hAnsi="Calibri"/>
          <w:sz w:val="21"/>
          <w:szCs w:val="21"/>
        </w:rPr>
        <w:t xml:space="preserve">Products (manufactured and distributed) have defined target markets, distribution strategies, and are reviewed through their lifecycle. Distribution is monitored to ensure products reach the intended target market and not unsuitable clients. Product approval and review governance operates via a product committee. Negative target market breaches flagged.</w:t>
      </w:r>
    </w:p>
    <w:p>
      <w:pPr>
        <w:spacing w:after="80"/>
      </w:pPr>
      <w:r>
        <w:rPr>
          <w:rFonts w:ascii="Calibri" w:cs="Calibri" w:eastAsia="Calibri" w:hAnsi="Calibri"/>
        </w:rPr>
        <w:t xml:space="preserve"/>
      </w:r>
    </w:p>
    <w:p>
      <w:pPr>
        <w:pStyle w:val="ListParagraph"/>
        <w:numPr>
          <w:ilvl w:val="0"/>
          <w:numId w:val="2"/>
        </w:numPr>
        <w:spacing w:after="80"/>
      </w:pPr>
      <w:r>
        <w:rPr>
          <w:rFonts w:ascii="Calibri" w:cs="Calibri" w:eastAsia="Calibri" w:hAnsi="Calibri"/>
          <w:color w:val="1E293B"/>
          <w:sz w:val="21"/>
          <w:szCs w:val="21"/>
        </w:rPr>
        <w:t xml:space="preserve">Target market definition — positive and negative target market per product</w:t>
      </w:r>
    </w:p>
    <w:p>
      <w:pPr>
        <w:pStyle w:val="ListParagraph"/>
        <w:numPr>
          <w:ilvl w:val="0"/>
          <w:numId w:val="2"/>
        </w:numPr>
        <w:spacing w:after="80"/>
      </w:pPr>
      <w:r>
        <w:rPr>
          <w:rFonts w:ascii="Calibri" w:cs="Calibri" w:eastAsia="Calibri" w:hAnsi="Calibri"/>
          <w:color w:val="1E293B"/>
          <w:sz w:val="21"/>
          <w:szCs w:val="21"/>
        </w:rPr>
        <w:t xml:space="preserve">Product approval — new products through governance committee</w:t>
      </w:r>
    </w:p>
    <w:p>
      <w:pPr>
        <w:pStyle w:val="ListParagraph"/>
        <w:numPr>
          <w:ilvl w:val="0"/>
          <w:numId w:val="2"/>
        </w:numPr>
        <w:spacing w:after="80"/>
      </w:pPr>
      <w:r>
        <w:rPr>
          <w:rFonts w:ascii="Calibri" w:cs="Calibri" w:eastAsia="Calibri" w:hAnsi="Calibri"/>
          <w:color w:val="1E293B"/>
          <w:sz w:val="21"/>
          <w:szCs w:val="21"/>
        </w:rPr>
        <w:t xml:space="preserve">Distribution monitoring — sales analysed vs target market</w:t>
      </w:r>
    </w:p>
    <w:p>
      <w:pPr>
        <w:pStyle w:val="ListParagraph"/>
        <w:numPr>
          <w:ilvl w:val="0"/>
          <w:numId w:val="2"/>
        </w:numPr>
        <w:spacing w:after="80"/>
      </w:pPr>
      <w:r>
        <w:rPr>
          <w:rFonts w:ascii="Calibri" w:cs="Calibri" w:eastAsia="Calibri" w:hAnsi="Calibri"/>
          <w:color w:val="1E293B"/>
          <w:sz w:val="21"/>
          <w:szCs w:val="21"/>
        </w:rPr>
        <w:t xml:space="preserve">Lifecycle review — periodic product review for ongoing appropriateness</w:t>
      </w:r>
    </w:p>
    <w:p>
      <w:pPr>
        <w:pStyle w:val="ListParagraph"/>
        <w:numPr>
          <w:ilvl w:val="0"/>
          <w:numId w:val="2"/>
        </w:numPr>
        <w:spacing w:after="80"/>
      </w:pPr>
      <w:r>
        <w:rPr>
          <w:rFonts w:ascii="Calibri" w:cs="Calibri" w:eastAsia="Calibri" w:hAnsi="Calibri"/>
          <w:color w:val="1E293B"/>
          <w:sz w:val="21"/>
          <w:szCs w:val="21"/>
        </w:rPr>
        <w:t xml:space="preserve">Manufacturer/distributor — obligations met in both roles</w:t>
      </w:r>
    </w:p>
    <w:p>
      <w:pPr>
        <w:spacing w:after="80"/>
      </w:pPr>
      <w:r>
        <w:rPr>
          <w:rFonts w:ascii="Calibri" w:cs="Calibri" w:eastAsia="Calibri" w:hAnsi="Calibri"/>
        </w:rPr>
        <w:t xml:space="preserve"/>
      </w:r>
    </w:p>
    <w:p>
      <w:pPr>
        <w:spacing w:after="120"/>
      </w:pPr>
      <w:r>
        <w:rPr>
          <w:rFonts w:ascii="Calibri" w:cs="Calibri" w:eastAsia="Calibri" w:hAnsi="Calibri"/>
          <w:sz w:val="21"/>
          <w:szCs w:val="21"/>
        </w:rPr>
        <w:t xml:space="preserve">Control operates effectively. Adequate rating reflects strong product governance framework with refinement in distribution-vs-target-market monitoring granularity and product review timeliness.</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Key Risk Indicators (KRIs)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KRI</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Threshold / Trigger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Products with defined target market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Target: 100%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Distribution within target market</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&lt;95% | Red: &lt;90%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Product lifecycle reviews overdue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&gt;12% | Red: &gt;20%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Negative target market breaches</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&gt;3 | Red: &gt;6</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Fair value assessments per product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Target: 100%</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Control Frequency &amp; Coverage</w:t>
            </w:r>
          </w:p>
        </w:tc>
      </w:tr>
    </w:tbl>
    <w:p>
      <w:pPr>
        <w:spacing w:after="120"/>
      </w:pPr>
      <w:r>
        <w:rPr>
          <w:rFonts w:ascii="Calibri" w:cs="Calibri" w:eastAsia="Calibri" w:hAnsi="Calibri"/>
          <w:sz w:val="21"/>
          <w:szCs w:val="21"/>
        </w:rPr>
        <w:t xml:space="preserve">Product approval as required; distribution monitoring quarterly; lifecycle review annually per product; product committee monthly.</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6.  Roles &amp; Responsibilities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Role</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Responsibility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Product Governance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Target markets, approvals, lifecycle review</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Product Committee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Governance, approval, review oversight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Distribution / Advisers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Distribute within target market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Compliance (2nd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PROD oversight, Consumer Duty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Internal Audit (3rd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Annual product governance review</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8"/>
              <w:left w:val="single" w:color="1E4FA8" w:sz="8"/>
              <w:bottom w:val="single" w:color="1E4FA8" w:sz="8"/>
              <w:right w:val="single" w:color="1E4FA8" w:sz="8"/>
            </w:tcBorders>
            <w:shd w:fill="EBF1FC"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Control rated Adequate. Strong product governance framework, target market definition, and committee governance. Refinement: granularity of distribution-vs-target-market monitoring and product lifecycle review timeliness. Links to suitability (WM-CTRL-01) and fees (WM-CTRL-06). No material weaknesses.</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WM-CTRL-10 · Product Governance &amp; Target Market Alignment  </w:t>
          </w:r>
          <w:r>
            <w:rPr>
              <w:rFonts w:ascii="Calibri" w:cs="Calibri" w:eastAsia="Calibri" w:hAnsi="Calibri"/>
              <w:color w:val="64748B"/>
              <w:sz w:val="18"/>
              <w:szCs w:val="18"/>
            </w:rPr>
            <w:t xml:space="preserve">| Control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2026-05-25T14:06:39.885Z</dcterms:created>
  <dcterms:modified xsi:type="dcterms:W3CDTF">2026-05-25T14:06:39.885Z</dcterms:modified>
</cp:coreProperties>
</file>

<file path=docProps/custom.xml><?xml version="1.0" encoding="utf-8"?>
<Properties xmlns="http://schemas.openxmlformats.org/officeDocument/2006/custom-properties" xmlns:vt="http://schemas.openxmlformats.org/officeDocument/2006/docPropsVTypes"/>
</file>