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/>
      </w:pPr>
      <w:r>
        <w:rPr>
          <w:rFonts w:ascii="Calibri" w:cs="Calibri" w:eastAsia="Calibri" w:hAnsi="Calibri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E4FA8" w:sz="12"/>
              <w:left w:val="single" w:color="0F2240" w:sz="24"/>
              <w:bottom w:val="single" w:color="1E4FA8" w:sz="12"/>
              <w:right w:val="single" w:color="1E4FA8" w:sz="4"/>
            </w:tcBorders>
            <w:shd w:fill="0F2240" w:val="clear"/>
            <w:tcMar>
              <w:top w:type="dxa" w:w="360"/>
              <w:left w:type="dxa" w:w="400"/>
              <w:bottom w:type="dxa" w:w="360"/>
              <w:right w:type="dxa" w:w="40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/>
                <w:bCs/>
                <w:caps/>
                <w:color w:val="94BAF7"/>
                <w:sz w:val="18"/>
                <w:szCs w:val="18"/>
              </w:rPr>
              <w:t xml:space="preserve">CONTROL SPECIFICATION</w:t>
            </w:r>
          </w:p>
          <w:p>
            <w:pPr>
              <w:spacing w:after="12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36"/>
                <w:szCs w:val="36"/>
              </w:rPr>
              <w:t xml:space="preserve">Product Governance &amp; Target Market Alignment</w:t>
            </w:r>
          </w:p>
          <w:p>
            <w:pPr>
              <w:spacing w:after="120"/>
            </w:pPr>
            <w:r>
              <w:rPr>
                <w:rFonts w:ascii="Calibri" w:cs="Calibri" w:eastAsia="Calibri" w:hAnsi="Calibri"/>
                <w:color w:val="94BAF7"/>
                <w:sz w:val="22"/>
                <w:szCs w:val="22"/>
              </w:rPr>
              <w:t xml:space="preserve">Wealth &amp; Private Banking  |  WM-CTRL-10</w:t>
            </w:r>
          </w:p>
        </w:tc>
      </w:tr>
    </w:tbl>
    <w:p>
      <w:pPr>
        <w:spacing w:after="180"/>
      </w:pPr>
      <w:r>
        <w:rPr>
          <w:rFonts w:ascii="Calibri" w:cs="Calibri" w:eastAsia="Calibri" w:hAnsi="Calibri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/>
                <w:bCs/>
                <w:color w:val="0F2240"/>
                <w:sz w:val="20"/>
                <w:szCs w:val="20"/>
              </w:rPr>
              <w:t xml:space="preserve">Control ID</w:t>
            </w:r>
          </w:p>
        </w:tc>
        <w:tc>
          <w:tcPr>
            <w:tcW w:type="dxa" w:w="6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WM-CTRL-10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/>
                <w:bCs/>
                <w:color w:val="0F2240"/>
                <w:sz w:val="20"/>
                <w:szCs w:val="20"/>
              </w:rPr>
              <w:t xml:space="preserve">Control Name</w:t>
            </w:r>
          </w:p>
        </w:tc>
        <w:tc>
          <w:tcPr>
            <w:tcW w:type="dxa" w:w="6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Product Governance &amp; Target Market Alignment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/>
                <w:bCs/>
                <w:color w:val="0F2240"/>
                <w:sz w:val="20"/>
                <w:szCs w:val="20"/>
              </w:rPr>
              <w:t xml:space="preserve">Business Division</w:t>
            </w:r>
          </w:p>
        </w:tc>
        <w:tc>
          <w:tcPr>
            <w:tcW w:type="dxa" w:w="6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Wealth &amp; Private Banking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/>
                <w:bCs/>
                <w:color w:val="0F2240"/>
                <w:sz w:val="20"/>
                <w:szCs w:val="20"/>
              </w:rPr>
              <w:t xml:space="preserve">Document Type</w:t>
            </w:r>
          </w:p>
        </w:tc>
        <w:tc>
          <w:tcPr>
            <w:tcW w:type="dxa" w:w="6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Control Specification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/>
                <w:bCs/>
                <w:color w:val="0F2240"/>
                <w:sz w:val="20"/>
                <w:szCs w:val="20"/>
              </w:rPr>
              <w:t xml:space="preserve">Prepared By</w:t>
            </w:r>
          </w:p>
        </w:tc>
        <w:tc>
          <w:tcPr>
            <w:tcW w:type="dxa" w:w="6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T. Nilsson, Head of Product Governance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/>
                <w:bCs/>
                <w:color w:val="0F2240"/>
                <w:sz w:val="20"/>
                <w:szCs w:val="20"/>
              </w:rPr>
              <w:t xml:space="preserve">Review Date</w:t>
            </w:r>
          </w:p>
        </w:tc>
        <w:tc>
          <w:tcPr>
            <w:tcW w:type="dxa" w:w="6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April 15, 2026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/>
                <w:bCs/>
                <w:color w:val="0F2240"/>
                <w:sz w:val="20"/>
                <w:szCs w:val="20"/>
              </w:rPr>
              <w:t xml:space="preserve">Classification</w:t>
            </w:r>
          </w:p>
        </w:tc>
        <w:tc>
          <w:tcPr>
            <w:tcW w:type="dxa" w:w="6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BF1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/>
                <w:bCs/>
                <w:color w:val="1E4FA8"/>
                <w:sz w:val="20"/>
                <w:szCs w:val="20"/>
              </w:rPr>
              <w:t xml:space="preserve">Adequate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/>
                <w:bCs/>
                <w:color w:val="0F2240"/>
                <w:sz w:val="20"/>
                <w:szCs w:val="20"/>
              </w:rPr>
              <w:t xml:space="preserve">GRC Reference</w:t>
            </w:r>
          </w:p>
        </w:tc>
        <w:tc>
          <w:tcPr>
            <w:tcW w:type="dxa" w:w="6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RCSA-2026-Q2 | ServiceNow / MetricStream</w:t>
            </w:r>
          </w:p>
        </w:tc>
      </w:tr>
    </w:tbl>
    <w:p>
      <w:pPr>
        <w:spacing w:after="100"/>
      </w:pPr>
      <w:r>
        <w:rPr>
          <w:rFonts w:ascii="Calibri" w:cs="Calibri" w:eastAsia="Calibri" w:hAnsi="Calibri"/>
        </w:rPr>
        <w:t xml:space="preserve"/>
      </w:r>
    </w:p>
    <w:p>
      <w:pPr>
        <w:spacing w:after="160"/>
      </w:pPr>
      <w:r>
        <w:rPr>
          <w:rFonts w:ascii="Calibri" w:cs="Calibri" w:eastAsia="Calibri" w:hAnsi="Calibri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E4FA8" w:sz="4"/>
              <w:left w:val="single" w:color="1E4FA8" w:sz="8"/>
              <w:bottom w:val="single" w:color="1E4FA8" w:sz="4"/>
              <w:right w:val="single" w:color="1E4FA8" w:sz="4"/>
            </w:tcBorders>
            <w:shd w:fill="EBF1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/>
                <w:bCs/>
                <w:color w:val="1E4FA8"/>
                <w:sz w:val="20"/>
                <w:szCs w:val="20"/>
              </w:rPr>
              <w:t xml:space="preserve">1.  Technical Architecture</w:t>
            </w:r>
          </w:p>
        </w:tc>
      </w:tr>
    </w:tbl>
    <w:p>
      <w:pPr>
        <w:spacing w:after="120"/>
      </w:pPr>
      <w:r>
        <w:rPr>
          <w:rFonts w:ascii="Calibri" w:cs="Calibri" w:eastAsia="Calibri" w:hAnsi="Calibri"/>
          <w:sz w:val="21"/>
          <w:szCs w:val="21"/>
        </w:rPr>
        <w:t xml:space="preserve">The Product Governance &amp; Target Market Alignment control is implemented via the following technical stack:</w:t>
      </w:r>
    </w:p>
    <w:p>
      <w:pPr>
        <w:spacing w:after="120"/>
      </w:pPr>
      <w:r>
        <w:rPr>
          <w:rFonts w:ascii="Calibri" w:cs="Calibri" w:eastAsia="Calibri" w:hAnsi="Calibri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1E4FA8" w:sz="1"/>
              <w:left w:val="single" w:color="1E4FA8" w:sz="1"/>
              <w:bottom w:val="single" w:color="1E4FA8" w:sz="1"/>
              <w:right w:val="single" w:color="1E4FA8" w:sz="1"/>
            </w:tcBorders>
            <w:shd w:fill="1E4FA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Component</w:t>
            </w:r>
          </w:p>
        </w:tc>
        <w:tc>
          <w:tcPr>
            <w:tcW w:type="dxa" w:w="6160"/>
            <w:tcBorders>
              <w:top w:val="single" w:color="1E4FA8" w:sz="1"/>
              <w:left w:val="single" w:color="1E4FA8" w:sz="1"/>
              <w:bottom w:val="single" w:color="1E4FA8" w:sz="1"/>
              <w:right w:val="single" w:color="1E4FA8" w:sz="1"/>
            </w:tcBorders>
            <w:shd w:fill="1E4FA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Detail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/>
                <w:bCs/>
                <w:color w:val="0F2240"/>
                <w:sz w:val="19"/>
                <w:szCs w:val="19"/>
              </w:rPr>
              <w:t xml:space="preserve">Platform</w:t>
            </w:r>
          </w:p>
        </w:tc>
        <w:tc>
          <w:tcPr>
            <w:tcW w:type="dxa" w:w="6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9"/>
                <w:szCs w:val="19"/>
              </w:rPr>
              <w:t xml:space="preserve">Product governance system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/>
                <w:bCs/>
                <w:color w:val="0F2240"/>
                <w:sz w:val="19"/>
                <w:szCs w:val="19"/>
              </w:rPr>
              <w:t xml:space="preserve">Target market</w:t>
            </w:r>
          </w:p>
        </w:tc>
        <w:tc>
          <w:tcPr>
            <w:tcW w:type="dxa" w:w="6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9"/>
                <w:szCs w:val="19"/>
              </w:rPr>
              <w:t xml:space="preserve">Positive/negative target market definitions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/>
                <w:bCs/>
                <w:color w:val="0F2240"/>
                <w:sz w:val="19"/>
                <w:szCs w:val="19"/>
              </w:rPr>
              <w:t xml:space="preserve">Distribution data</w:t>
            </w:r>
          </w:p>
        </w:tc>
        <w:tc>
          <w:tcPr>
            <w:tcW w:type="dxa" w:w="6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9"/>
                <w:szCs w:val="19"/>
              </w:rPr>
              <w:t xml:space="preserve">Sales vs target market analytics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/>
                <w:bCs/>
                <w:color w:val="0F2240"/>
                <w:sz w:val="19"/>
                <w:szCs w:val="19"/>
              </w:rPr>
              <w:t xml:space="preserve">Product committee</w:t>
            </w:r>
          </w:p>
        </w:tc>
        <w:tc>
          <w:tcPr>
            <w:tcW w:type="dxa" w:w="6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9"/>
                <w:szCs w:val="19"/>
              </w:rPr>
              <w:t xml:space="preserve">Approval and review governance workflow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/>
                <w:bCs/>
                <w:color w:val="0F2240"/>
                <w:sz w:val="19"/>
                <w:szCs w:val="19"/>
              </w:rPr>
              <w:t xml:space="preserve">Fair value</w:t>
            </w:r>
          </w:p>
        </w:tc>
        <w:tc>
          <w:tcPr>
            <w:tcW w:type="dxa" w:w="6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9"/>
                <w:szCs w:val="19"/>
              </w:rPr>
              <w:t xml:space="preserve">Consumer Duty fair value integration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/>
                <w:bCs/>
                <w:color w:val="0F2240"/>
                <w:sz w:val="19"/>
                <w:szCs w:val="19"/>
              </w:rPr>
              <w:t xml:space="preserve">Audit retention</w:t>
            </w:r>
          </w:p>
        </w:tc>
        <w:tc>
          <w:tcPr>
            <w:tcW w:type="dxa" w:w="6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9"/>
                <w:szCs w:val="19"/>
              </w:rPr>
              <w:t xml:space="preserve">Product lifecycle + 6 years</w:t>
            </w:r>
          </w:p>
        </w:tc>
      </w:tr>
    </w:tbl>
    <w:p>
      <w:pPr>
        <w:spacing w:after="140"/>
      </w:pPr>
      <w:r>
        <w:rPr>
          <w:rFonts w:ascii="Calibri" w:cs="Calibri" w:eastAsia="Calibri" w:hAnsi="Calibri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E4FA8" w:sz="4"/>
              <w:left w:val="single" w:color="1E4FA8" w:sz="8"/>
              <w:bottom w:val="single" w:color="1E4FA8" w:sz="4"/>
              <w:right w:val="single" w:color="1E4FA8" w:sz="4"/>
            </w:tcBorders>
            <w:shd w:fill="EBF1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/>
                <w:bCs/>
                <w:color w:val="1E4FA8"/>
                <w:sz w:val="20"/>
                <w:szCs w:val="20"/>
              </w:rPr>
              <w:t xml:space="preserve">2.  Control Activities &amp; Evidence</w:t>
            </w:r>
          </w:p>
        </w:tc>
      </w:tr>
    </w:tbl>
    <w:p>
      <w:pPr>
        <w:spacing w:after="120"/>
      </w:pPr>
      <w:r>
        <w:rPr>
          <w:rFonts w:ascii="Calibri" w:cs="Calibri" w:eastAsia="Calibri" w:hAnsi="Calibri"/>
          <w:sz w:val="21"/>
          <w:szCs w:val="21"/>
        </w:rPr>
        <w:t xml:space="preserve">The following activities are performed and evidence retained for each operation of the control:</w:t>
      </w:r>
    </w:p>
    <w:p>
      <w:pPr>
        <w:spacing w:after="80"/>
      </w:pPr>
      <w:r>
        <w:rPr>
          <w:rFonts w:ascii="Calibri" w:cs="Calibri" w:eastAsia="Calibri" w:hAnsi="Calibri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1E4FA8" w:sz="1"/>
              <w:left w:val="single" w:color="1E4FA8" w:sz="1"/>
              <w:bottom w:val="single" w:color="1E4FA8" w:sz="1"/>
              <w:right w:val="single" w:color="1E4FA8" w:sz="1"/>
            </w:tcBorders>
            <w:shd w:fill="1E4FA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Activity</w:t>
            </w:r>
          </w:p>
        </w:tc>
        <w:tc>
          <w:tcPr>
            <w:tcW w:type="dxa" w:w="6160"/>
            <w:tcBorders>
              <w:top w:val="single" w:color="1E4FA8" w:sz="1"/>
              <w:left w:val="single" w:color="1E4FA8" w:sz="1"/>
              <w:bottom w:val="single" w:color="1E4FA8" w:sz="1"/>
              <w:right w:val="single" w:color="1E4FA8" w:sz="1"/>
            </w:tcBorders>
            <w:shd w:fill="1E4FA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Evidence Captured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/>
                <w:bCs/>
                <w:color w:val="0F2240"/>
                <w:sz w:val="19"/>
                <w:szCs w:val="19"/>
              </w:rPr>
              <w:t xml:space="preserve">Control trigger / assessment</w:t>
            </w:r>
          </w:p>
        </w:tc>
        <w:tc>
          <w:tcPr>
            <w:tcW w:type="dxa" w:w="6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9"/>
                <w:szCs w:val="19"/>
              </w:rPr>
              <w:t xml:space="preserve">Timestamped record in primary system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/>
                <w:bCs/>
                <w:color w:val="0F2240"/>
                <w:sz w:val="19"/>
                <w:szCs w:val="19"/>
              </w:rPr>
              <w:t xml:space="preserve">Monitoring / verification outcome</w:t>
            </w:r>
          </w:p>
        </w:tc>
        <w:tc>
          <w:tcPr>
            <w:tcW w:type="dxa" w:w="6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9"/>
                <w:szCs w:val="19"/>
              </w:rPr>
              <w:t xml:space="preserve">Outcome values + flags captured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/>
                <w:bCs/>
                <w:color w:val="0F2240"/>
                <w:sz w:val="19"/>
                <w:szCs w:val="19"/>
              </w:rPr>
              <w:t xml:space="preserve">Exception / breach handling</w:t>
            </w:r>
          </w:p>
        </w:tc>
        <w:tc>
          <w:tcPr>
            <w:tcW w:type="dxa" w:w="6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9"/>
                <w:szCs w:val="19"/>
              </w:rPr>
              <w:t xml:space="preserve">Case opened, owner assigned, audit logged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/>
                <w:bCs/>
                <w:color w:val="0F2240"/>
                <w:sz w:val="19"/>
                <w:szCs w:val="19"/>
              </w:rPr>
              <w:t xml:space="preserve">Escalation (criteria met)</w:t>
            </w:r>
          </w:p>
        </w:tc>
        <w:tc>
          <w:tcPr>
            <w:tcW w:type="dxa" w:w="6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9"/>
                <w:szCs w:val="19"/>
              </w:rPr>
              <w:t xml:space="preserve">Routed per matrix, notification logged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/>
                <w:bCs/>
                <w:color w:val="0F2240"/>
                <w:sz w:val="19"/>
                <w:szCs w:val="19"/>
              </w:rPr>
              <w:t xml:space="preserve">Resolution / sign-off</w:t>
            </w:r>
          </w:p>
        </w:tc>
        <w:tc>
          <w:tcPr>
            <w:tcW w:type="dxa" w:w="6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9"/>
                <w:szCs w:val="19"/>
              </w:rPr>
              <w:t xml:space="preserve">Final outcome + supporting evidence retained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/>
                <w:bCs/>
                <w:color w:val="0F2240"/>
                <w:sz w:val="19"/>
                <w:szCs w:val="19"/>
              </w:rPr>
              <w:t xml:space="preserve">Reporting</w:t>
            </w:r>
          </w:p>
        </w:tc>
        <w:tc>
          <w:tcPr>
            <w:tcW w:type="dxa" w:w="6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9"/>
                <w:szCs w:val="19"/>
              </w:rPr>
              <w:t xml:space="preserve">KRI / MI reports generated and distributed</w:t>
            </w:r>
          </w:p>
        </w:tc>
      </w:tr>
    </w:tbl>
    <w:p>
      <w:pPr>
        <w:spacing w:after="140"/>
      </w:pPr>
      <w:r>
        <w:rPr>
          <w:rFonts w:ascii="Calibri" w:cs="Calibri" w:eastAsia="Calibri" w:hAnsi="Calibri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E4FA8" w:sz="4"/>
              <w:left w:val="single" w:color="1E4FA8" w:sz="8"/>
              <w:bottom w:val="single" w:color="1E4FA8" w:sz="4"/>
              <w:right w:val="single" w:color="1E4FA8" w:sz="4"/>
            </w:tcBorders>
            <w:shd w:fill="EBF1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/>
                <w:bCs/>
                <w:color w:val="1E4FA8"/>
                <w:sz w:val="20"/>
                <w:szCs w:val="20"/>
              </w:rPr>
              <w:t xml:space="preserve">3.  Exception Handling</w:t>
            </w:r>
          </w:p>
        </w:tc>
      </w:tr>
    </w:tbl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1E293B"/>
          <w:sz w:val="21"/>
          <w:szCs w:val="21"/>
        </w:rPr>
        <w:t xml:space="preserve">Standard exception — documented escalation pathway with SLA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1E293B"/>
          <w:sz w:val="21"/>
          <w:szCs w:val="21"/>
        </w:rPr>
        <w:t xml:space="preserve">System unavailability — fail-safe / manual fallback per BCP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1E293B"/>
          <w:sz w:val="21"/>
          <w:szCs w:val="21"/>
        </w:rPr>
        <w:t xml:space="preserve">Data quality issue — referred to data owner; control paused if material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1E293B"/>
          <w:sz w:val="21"/>
          <w:szCs w:val="21"/>
        </w:rPr>
        <w:t xml:space="preserve">Regulatory threshold breach — immediate escalation to MLRO / Head per policy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1E293B"/>
          <w:sz w:val="21"/>
          <w:szCs w:val="21"/>
        </w:rPr>
        <w:t xml:space="preserve">Client harm indicator — Consumer Duty foreseeable harm assessment triggered</w:t>
      </w:r>
    </w:p>
    <w:p>
      <w:pPr>
        <w:spacing w:after="140"/>
      </w:pPr>
      <w:r>
        <w:rPr>
          <w:rFonts w:ascii="Calibri" w:cs="Calibri" w:eastAsia="Calibri" w:hAnsi="Calibri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E4FA8" w:sz="4"/>
              <w:left w:val="single" w:color="1E4FA8" w:sz="8"/>
              <w:bottom w:val="single" w:color="1E4FA8" w:sz="4"/>
              <w:right w:val="single" w:color="1E4FA8" w:sz="4"/>
            </w:tcBorders>
            <w:shd w:fill="EBF1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/>
                <w:bCs/>
                <w:color w:val="1E4FA8"/>
                <w:sz w:val="20"/>
                <w:szCs w:val="20"/>
              </w:rPr>
              <w:t xml:space="preserve">4.  Performance Standards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1E4FA8" w:sz="1"/>
              <w:left w:val="single" w:color="1E4FA8" w:sz="1"/>
              <w:bottom w:val="single" w:color="1E4FA8" w:sz="1"/>
              <w:right w:val="single" w:color="1E4FA8" w:sz="1"/>
            </w:tcBorders>
            <w:shd w:fill="1E4FA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Standard</w:t>
            </w:r>
          </w:p>
        </w:tc>
        <w:tc>
          <w:tcPr>
            <w:tcW w:type="dxa" w:w="6160"/>
            <w:tcBorders>
              <w:top w:val="single" w:color="1E4FA8" w:sz="1"/>
              <w:left w:val="single" w:color="1E4FA8" w:sz="1"/>
              <w:bottom w:val="single" w:color="1E4FA8" w:sz="1"/>
              <w:right w:val="single" w:color="1E4FA8" w:sz="1"/>
            </w:tcBorders>
            <w:shd w:fill="1E4FA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Target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/>
                <w:bCs/>
                <w:color w:val="0F2240"/>
                <w:sz w:val="19"/>
                <w:szCs w:val="19"/>
              </w:rPr>
              <w:t xml:space="preserve">Coverage</w:t>
            </w:r>
          </w:p>
        </w:tc>
        <w:tc>
          <w:tcPr>
            <w:tcW w:type="dxa" w:w="6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9"/>
                <w:szCs w:val="19"/>
              </w:rPr>
              <w:t xml:space="preserve">Per control design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/>
                <w:bCs/>
                <w:color w:val="0F2240"/>
                <w:sz w:val="19"/>
                <w:szCs w:val="19"/>
              </w:rPr>
              <w:t xml:space="preserve">Timeliness</w:t>
            </w:r>
          </w:p>
        </w:tc>
        <w:tc>
          <w:tcPr>
            <w:tcW w:type="dxa" w:w="6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9"/>
                <w:szCs w:val="19"/>
              </w:rPr>
              <w:t xml:space="preserve">Per control SLA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/>
                <w:bCs/>
                <w:color w:val="0F2240"/>
                <w:sz w:val="19"/>
                <w:szCs w:val="19"/>
              </w:rPr>
              <w:t xml:space="preserve">Audit trail completeness</w:t>
            </w:r>
          </w:p>
        </w:tc>
        <w:tc>
          <w:tcPr>
            <w:tcW w:type="dxa" w:w="6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9"/>
                <w:szCs w:val="19"/>
              </w:rPr>
              <w:t xml:space="preserve">100% of cases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/>
                <w:bCs/>
                <w:color w:val="0F2240"/>
                <w:sz w:val="19"/>
                <w:szCs w:val="19"/>
              </w:rPr>
              <w:t xml:space="preserve">Documentation currency</w:t>
            </w:r>
          </w:p>
        </w:tc>
        <w:tc>
          <w:tcPr>
            <w:tcW w:type="dxa" w:w="6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9"/>
                <w:szCs w:val="19"/>
              </w:rPr>
              <w:t xml:space="preserve">Annual review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/>
                <w:bCs/>
                <w:color w:val="0F2240"/>
                <w:sz w:val="19"/>
                <w:szCs w:val="19"/>
              </w:rPr>
              <w:t xml:space="preserve">Training completion</w:t>
            </w:r>
          </w:p>
        </w:tc>
        <w:tc>
          <w:tcPr>
            <w:tcW w:type="dxa" w:w="6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9"/>
                <w:szCs w:val="19"/>
              </w:rPr>
              <w:t xml:space="preserve">100% in-scope staff</w:t>
            </w:r>
          </w:p>
        </w:tc>
      </w:tr>
    </w:tbl>
    <w:p>
      <w:pPr>
        <w:spacing w:after="160"/>
      </w:pPr>
      <w:r>
        <w:rPr>
          <w:rFonts w:ascii="Calibri" w:cs="Calibri" w:eastAsia="Calibri" w:hAnsi="Calibri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E4FA8" w:sz="4"/>
              <w:left w:val="single" w:color="1E4FA8" w:sz="8"/>
              <w:bottom w:val="single" w:color="1E4FA8" w:sz="4"/>
              <w:right w:val="single" w:color="1E4FA8" w:sz="4"/>
            </w:tcBorders>
            <w:shd w:fill="EBF1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/>
                <w:bCs/>
                <w:color w:val="1E4FA8"/>
                <w:sz w:val="20"/>
                <w:szCs w:val="20"/>
              </w:rPr>
              <w:t xml:space="preserve">5.  Dependencies</w:t>
            </w:r>
          </w:p>
        </w:tc>
      </w:tr>
    </w:tbl>
    <w:p>
      <w:pPr>
        <w:spacing w:after="120"/>
      </w:pPr>
      <w:r>
        <w:rPr>
          <w:rFonts w:ascii="Calibri" w:cs="Calibri" w:eastAsia="Calibri" w:hAnsi="Calibri"/>
          <w:sz w:val="21"/>
          <w:szCs w:val="21"/>
        </w:rPr>
        <w:t xml:space="preserve">This control depends on upstream client and market data feeds, wealth platform availability, third-party data (screening, ESG, pricing), and trained advisory and operations staff. Material dependencies are subject to separate IT and operational risk monitoring.</w:t>
      </w:r>
    </w:p>
    <w:sectPr>
      <w:headerReference w:type="default" r:id="rId7"/>
      <w:footerReference w:type="default" r:id="rId8"/>
      <w:pgSz w:w="12240" w:h="15840" w:orient="portrait"/>
      <w:pgMar w:top="1000" w:right="1000" w:bottom="100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BD5E1" w:sz="4" w:space="1"/>
      </w:pBdr>
      <w:spacing w:before="80"/>
    </w:pPr>
    <w:r>
      <w:rPr>
        <w:rFonts w:ascii="Calibri" w:cs="Calibri" w:eastAsia="Calibri" w:hAnsi="Calibri"/>
        <w:color w:val="64748B"/>
        <w:sz w:val="17"/>
        <w:szCs w:val="17"/>
      </w:rPr>
      <w:t xml:space="preserve">Confidential — For Internal Use Only     Page </w:t>
    </w:r>
    <w:r>
      <w:rPr>
        <w:rFonts w:ascii="Calibri" w:cs="Calibri" w:eastAsia="Calibri" w:hAnsi="Calibri"/>
        <w:color w:val="64748B"/>
        <w:sz w:val="17"/>
        <w:szCs w:val="17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tbl>
    <w:tblPr>
      <w:tblW w:type="dxa" w:w="9360"/>
      <w:tblBorders>
        <w:top w:val="none" w:color="FFFFFF" w:sz="0"/>
        <w:left w:val="none" w:color="FFFFFF" w:sz="0"/>
        <w:bottom w:val="single" w:color="1E4FA8" w:sz="6"/>
        <w:right w:val="none" w:color="FFFFFF" w:sz="0"/>
        <w:insideH w:val="single" w:color="auto" w:sz="4"/>
        <w:insideV w:val="single" w:color="auto" w:sz="4"/>
      </w:tblBorders>
    </w:tblPr>
    <w:tblGrid>
      <w:gridCol w:w="6500"/>
      <w:gridCol w:w="2860"/>
    </w:tblGrid>
    <w:tr>
      <w:tc>
        <w:tcPr>
          <w:tcW w:type="dxa" w:w="6500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shd w:fill="FFFFFF" w:val="clear"/>
          <w:tcMar>
            <w:top w:type="dxa" w:w="60"/>
            <w:left w:type="dxa" w:w="0"/>
            <w:bottom w:type="dxa" w:w="60"/>
            <w:right w:type="dxa" w:w="0"/>
          </w:tcMar>
        </w:tcPr>
        <w:p>
          <w:pPr>
            <w:spacing w:after="120"/>
          </w:pPr>
          <w:r>
            <w:rPr>
              <w:rFonts w:ascii="Calibri" w:cs="Calibri" w:eastAsia="Calibri" w:hAnsi="Calibri"/>
              <w:b/>
              <w:bCs/>
              <w:color w:val="0F2240"/>
              <w:sz w:val="18"/>
              <w:szCs w:val="18"/>
            </w:rPr>
            <w:t xml:space="preserve">WM-CTRL-10 · Product Governance &amp; Target Market Alignment  </w:t>
          </w:r>
          <w:r>
            <w:rPr>
              <w:rFonts w:ascii="Calibri" w:cs="Calibri" w:eastAsia="Calibri" w:hAnsi="Calibri"/>
              <w:color w:val="64748B"/>
              <w:sz w:val="18"/>
              <w:szCs w:val="18"/>
            </w:rPr>
            <w:t xml:space="preserve">| Control Specification</w:t>
          </w:r>
        </w:p>
      </w:tc>
      <w:tc>
        <w:tcPr>
          <w:tcW w:type="dxa" w:w="2860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shd w:fill="FFFFFF" w:val="clear"/>
          <w:tcMar>
            <w:top w:type="dxa" w:w="60"/>
            <w:left w:type="dxa" w:w="0"/>
            <w:bottom w:type="dxa" w:w="60"/>
            <w:right w:type="dxa" w:w="0"/>
          </w:tcMar>
        </w:tcPr>
        <w:p>
          <w:pPr>
            <w:spacing w:after="120"/>
            <w:jc w:val="right"/>
          </w:pPr>
          <w:r>
            <w:rPr>
              <w:rFonts w:ascii="Calibri" w:cs="Calibri" w:eastAsia="Calibri" w:hAnsi="Calibri"/>
              <w:color w:val="64748B"/>
              <w:sz w:val="16"/>
              <w:szCs w:val="16"/>
            </w:rPr>
            <w:t xml:space="preserve">Global Bank Group  |  Confidential</w:t>
          </w:r>
        </w:p>
      </w:tc>
    </w:tr>
  </w:tbl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60" w:hanging="2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2026-05-25T14:06:39.906Z</dcterms:created>
  <dcterms:modified xsi:type="dcterms:W3CDTF">2026-05-25T14:06:39.906Z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