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A5E" w:sz="14"/>
              <w:left w:val="single" w:color="0F2A5E" w:sz="14"/>
              <w:bottom w:val="single" w:color="0F2A5E" w:sz="14"/>
              <w:right w:val="single" w:color="0F2A5E" w:sz="14"/>
            </w:tcBorders>
            <w:shd w:fill="0F2A5E" w:val="clear"/>
            <w:tcMar>
              <w:top w:type="dxa" w:w="200"/>
              <w:left w:type="dxa" w:w="300"/>
              <w:bottom w:type="dxa" w:w="180"/>
              <w:right w:type="dxa" w:w="3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❗  Problem Statement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3C5FD"/>
                <w:sz w:val="19"/>
                <w:szCs w:val="19"/>
              </w:rPr>
              <w:t xml:space="preserve">APTech SlimBytes 2026  —  Why existing memory management is broken on ARM64</w:t>
            </w:r>
          </w:p>
        </w:tc>
      </w:tr>
    </w:tbl>
    <w:p>
      <w:pPr>
        <w:spacing w:before="2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10"/>
              <w:left w:val="single" w:color="B91C1C" w:sz="10"/>
              <w:bottom w:val="single" w:color="B91C1C" w:sz="10"/>
              <w:right w:val="single" w:color="B91C1C" w:sz="10"/>
            </w:tcBorders>
            <w:shd w:fill="0A162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6"/>
                <w:szCs w:val="26"/>
              </w:rPr>
              <w:t xml:space="preserve">⚠   THE MEMORY ALLOCATION TRAP</w:t>
            </w:r>
          </w:p>
          <w:p>
            <w:pPr>
              <w:spacing w:before="40" w:after="0"/>
            </w:pP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20"/>
                <w:szCs w:val="20"/>
              </w:rPr>
              <w:t xml:space="preserve">App requests 256 MB of memory</w:t>
            </w:r>
          </w:p>
          <w:p>
            <w:pPr>
              <w:spacing w:before="80" w:after="0"/>
            </w:pP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32"/>
                <w:szCs w:val="32"/>
              </w:rPr>
              <w:t xml:space="preserve">▼</w:t>
            </w:r>
          </w:p>
          <w:p>
            <w:pPr>
              <w:spacing w:before="80" w:after="0"/>
            </w:pPr>
          </w:p>
          <w:tbl>
            <w:tblPr>
              <w:tblW w:type="dxa" w:w="8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100"/>
              <w:gridCol w:w="400"/>
              <w:gridCol w:w="4100"/>
            </w:tblGrid>
            <w:tr>
              <w:tc>
                <w:tcPr>
                  <w:tcW w:type="dxa" w:w="4100"/>
                  <w:tcBorders>
                    <w:top w:val="single" w:color="B91C1C" w:sz="10"/>
                    <w:left w:val="single" w:color="B91C1C" w:sz="10"/>
                    <w:bottom w:val="single" w:color="B91C1C" w:sz="10"/>
                    <w:right w:val="single" w:color="B91C1C" w:sz="10"/>
                  </w:tcBorders>
                  <w:shd w:fill="1E0A0A" w:val="clear"/>
                  <w:tcMar>
                    <w:top w:type="dxa" w:w="160"/>
                    <w:left w:type="dxa" w:w="200"/>
                    <w:bottom w:type="dxa" w:w="160"/>
                    <w:right w:type="dxa" w:w="20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91C1C"/>
                      <w:sz w:val="14"/>
                      <w:szCs w:val="14"/>
                    </w:rPr>
                    <w:t xml:space="preserve">OPTION A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94A3B8"/>
                      <w:sz w:val="14"/>
                      <w:szCs w:val="14"/>
                    </w:rPr>
                    <w:t xml:space="preserve">   ←  Today's default</w:t>
                  </w:r>
                </w:p>
                <w:p>
                  <w:pPr>
                    <w:spacing w:before="6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CA5A5"/>
                      <w:sz w:val="24"/>
                      <w:szCs w:val="24"/>
                    </w:rPr>
                    <w:t xml:space="preserve">4 KB pages</w:t>
                  </w:r>
                </w:p>
                <w:p>
                  <w:pPr>
                    <w:spacing w:before="100" w:after="0"/>
                  </w:pPr>
                </w:p>
                <w:tbl>
                  <w:tblPr>
                    <w:tblW w:type="dxa" w:w="37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200"/>
                    <w:gridCol w:w="300"/>
                    <w:gridCol w:w="2200"/>
                  </w:tblGrid>
                  <w:tr>
                    <w:tc>
                      <w:tcPr>
                        <w:tcW w:type="dxa" w:w="1200"/>
                        <w:tcBorders>
                          <w:top w:val="single" w:color="B91C1C" w:sz="4"/>
                          <w:left w:val="single" w:color="B91C1C" w:sz="4"/>
                          <w:bottom w:val="single" w:color="B91C1C" w:sz="4"/>
                          <w:right w:val="single" w:color="B91C1C" w:sz="4"/>
                        </w:tcBorders>
                        <w:shd w:fill="1E0A0A" w:val="clear"/>
                        <w:tcMar>
                          <w:top w:type="dxa" w:w="140"/>
                          <w:left w:type="dxa" w:w="180"/>
                          <w:bottom w:type="dxa" w:w="140"/>
                          <w:right w:type="dxa" w:w="180"/>
                        </w:tcMar>
                        <w:vAlign w:val="center"/>
                      </w:tcPr>
                      <w:p>
                        <w:pPr>
                          <w:spacing w:before="0" w:after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B91C1C"/>
                            <w:sz w:val="20"/>
                            <w:szCs w:val="20"/>
                          </w:rPr>
                          <w:t xml:space="preserve">65,536</w:t>
                        </w:r>
                      </w:p>
                    </w:tc>
                    <w:tc>
                      <w:tcPr>
                        <w:tcW w:type="dxa" w:w="3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1E0A0A" w:val="clear"/>
                      </w:tcPr>
                      <w:p/>
                    </w:tc>
                    <w:tc>
                      <w:tcPr>
                        <w:tcW w:type="dxa" w:w="2200"/>
                        <w:tcBorders>
                          <w:top w:val="single" w:color="B91C1C" w:sz="4"/>
                          <w:left w:val="single" w:color="B91C1C" w:sz="4"/>
                          <w:bottom w:val="single" w:color="B91C1C" w:sz="4"/>
                          <w:right w:val="single" w:color="B91C1C" w:sz="4"/>
                        </w:tcBorders>
                        <w:shd w:fill="1E0A0A" w:val="clear"/>
                        <w:tcMar>
                          <w:top w:type="dxa" w:w="140"/>
                          <w:left w:type="dxa" w:w="180"/>
                          <w:bottom w:type="dxa" w:w="140"/>
                          <w:right w:type="dxa" w:w="180"/>
                        </w:tcMar>
                        <w:vAlign w:val="center"/>
                      </w:tcPr>
                      <w:p>
                        <w:pPr>
                          <w:spacing w:before="0" w:after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color w:val="FCA5A5"/>
                            <w:sz w:val="17"/>
                            <w:szCs w:val="17"/>
                          </w:rPr>
                          <w:t xml:space="preserve">Page Table Entries</w:t>
                        </w:r>
                      </w:p>
                    </w:tc>
                  </w:tr>
                  <w:tr>
                    <w:tc>
                      <w:tcPr>
                        <w:tcW w:type="dxa" w:w="1200"/>
                        <w:tcBorders>
                          <w:top w:val="single" w:color="B91C1C" w:sz="4"/>
                          <w:left w:val="single" w:color="B91C1C" w:sz="4"/>
                          <w:bottom w:val="single" w:color="B91C1C" w:sz="4"/>
                          <w:right w:val="single" w:color="B91C1C" w:sz="4"/>
                        </w:tcBorders>
                        <w:shd w:fill="1E0A0A" w:val="clear"/>
                        <w:tcMar>
                          <w:top w:type="dxa" w:w="140"/>
                          <w:left w:type="dxa" w:w="180"/>
                          <w:bottom w:type="dxa" w:w="140"/>
                          <w:right w:type="dxa" w:w="180"/>
                        </w:tcMar>
                        <w:vAlign w:val="center"/>
                      </w:tcPr>
                      <w:p>
                        <w:pPr>
                          <w:spacing w:before="0" w:after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B91C1C"/>
                            <w:sz w:val="20"/>
                            <w:szCs w:val="20"/>
                          </w:rPr>
                          <w:t xml:space="preserve">512 KB</w:t>
                        </w:r>
                      </w:p>
                    </w:tc>
                    <w:tc>
                      <w:tcPr>
                        <w:tcW w:type="dxa" w:w="3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1E0A0A" w:val="clear"/>
                      </w:tcPr>
                      <w:p/>
                    </w:tc>
                    <w:tc>
                      <w:tcPr>
                        <w:tcW w:type="dxa" w:w="2200"/>
                        <w:tcBorders>
                          <w:top w:val="single" w:color="B91C1C" w:sz="4"/>
                          <w:left w:val="single" w:color="B91C1C" w:sz="4"/>
                          <w:bottom w:val="single" w:color="B91C1C" w:sz="4"/>
                          <w:right w:val="single" w:color="B91C1C" w:sz="4"/>
                        </w:tcBorders>
                        <w:shd w:fill="1E0A0A" w:val="clear"/>
                        <w:tcMar>
                          <w:top w:type="dxa" w:w="140"/>
                          <w:left w:type="dxa" w:w="180"/>
                          <w:bottom w:type="dxa" w:w="140"/>
                          <w:right w:type="dxa" w:w="180"/>
                        </w:tcMar>
                        <w:vAlign w:val="center"/>
                      </w:tcPr>
                      <w:p>
                        <w:pPr>
                          <w:spacing w:before="0" w:after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color w:val="FCA5A5"/>
                            <w:sz w:val="17"/>
                            <w:szCs w:val="17"/>
                          </w:rPr>
                          <w:t xml:space="preserve">Wasted as page tables</w:t>
                        </w:r>
                      </w:p>
                    </w:tc>
                  </w:tr>
                  <w:tr>
                    <w:tc>
                      <w:tcPr>
                        <w:tcW w:type="dxa" w:w="1200"/>
                        <w:tcBorders>
                          <w:top w:val="single" w:color="B91C1C" w:sz="4"/>
                          <w:left w:val="single" w:color="B91C1C" w:sz="4"/>
                          <w:bottom w:val="single" w:color="B91C1C" w:sz="4"/>
                          <w:right w:val="single" w:color="B91C1C" w:sz="4"/>
                        </w:tcBorders>
                        <w:shd w:fill="1E0A0A" w:val="clear"/>
                        <w:tcMar>
                          <w:top w:type="dxa" w:w="140"/>
                          <w:left w:type="dxa" w:w="180"/>
                          <w:bottom w:type="dxa" w:w="140"/>
                          <w:right w:type="dxa" w:w="180"/>
                        </w:tcMar>
                        <w:vAlign w:val="center"/>
                      </w:tcPr>
                      <w:p>
                        <w:pPr>
                          <w:spacing w:before="0" w:after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B91C1C"/>
                            <w:sz w:val="20"/>
                            <w:szCs w:val="20"/>
                          </w:rPr>
                          <w:t xml:space="preserve">16×</w:t>
                        </w:r>
                      </w:p>
                    </w:tc>
                    <w:tc>
                      <w:tcPr>
                        <w:tcW w:type="dxa" w:w="3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1E0A0A" w:val="clear"/>
                      </w:tcPr>
                      <w:p/>
                    </w:tc>
                    <w:tc>
                      <w:tcPr>
                        <w:tcW w:type="dxa" w:w="2200"/>
                        <w:tcBorders>
                          <w:top w:val="single" w:color="B91C1C" w:sz="4"/>
                          <w:left w:val="single" w:color="B91C1C" w:sz="4"/>
                          <w:bottom w:val="single" w:color="B91C1C" w:sz="4"/>
                          <w:right w:val="single" w:color="B91C1C" w:sz="4"/>
                        </w:tcBorders>
                        <w:shd w:fill="1E0A0A" w:val="clear"/>
                        <w:tcMar>
                          <w:top w:type="dxa" w:w="140"/>
                          <w:left w:type="dxa" w:w="180"/>
                          <w:bottom w:type="dxa" w:w="140"/>
                          <w:right w:type="dxa" w:w="180"/>
                        </w:tcMar>
                        <w:vAlign w:val="center"/>
                      </w:tcPr>
                      <w:p>
                        <w:pPr>
                          <w:spacing w:before="0" w:after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color w:val="FCA5A5"/>
                            <w:sz w:val="17"/>
                            <w:szCs w:val="17"/>
                          </w:rPr>
                          <w:t xml:space="preserve">More TLB misses per 64 KB region</w:t>
                        </w:r>
                      </w:p>
                    </w:tc>
                  </w:tr>
                </w:tbl>
                <w:p>
                  <w:pPr>
                    <w:spacing w:before="80" w:after="0"/>
                  </w:pP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91C1C"/>
                      <w:sz w:val="18"/>
                      <w:szCs w:val="18"/>
                    </w:rPr>
                    <w:t xml:space="preserve">❌  Performance degrades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1628" w:val="clear"/>
                </w:tcPr>
                <w:p/>
              </w:tc>
              <w:tc>
                <w:tcPr>
                  <w:tcW w:type="dxa" w:w="4100"/>
                  <w:tcBorders>
                    <w:top w:val="single" w:color="C2410C" w:sz="10"/>
                    <w:left w:val="single" w:color="C2410C" w:sz="10"/>
                    <w:bottom w:val="single" w:color="C2410C" w:sz="10"/>
                    <w:right w:val="single" w:color="C2410C" w:sz="10"/>
                  </w:tcBorders>
                  <w:shd w:fill="1A0E00" w:val="clear"/>
                  <w:tcMar>
                    <w:top w:type="dxa" w:w="160"/>
                    <w:left w:type="dxa" w:w="200"/>
                    <w:bottom w:type="dxa" w:w="160"/>
                    <w:right w:type="dxa" w:w="20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2410C"/>
                      <w:sz w:val="14"/>
                      <w:szCs w:val="14"/>
                    </w:rPr>
                    <w:t xml:space="preserve">OPTION B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94A3B8"/>
                      <w:sz w:val="14"/>
                      <w:szCs w:val="14"/>
                    </w:rPr>
                    <w:t xml:space="preserve">   ←  Classic THP</w:t>
                  </w:r>
                </w:p>
                <w:p>
                  <w:pPr>
                    <w:spacing w:before="6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ED7AA"/>
                      <w:sz w:val="24"/>
                      <w:szCs w:val="24"/>
                    </w:rPr>
                    <w:t xml:space="preserve">2 MB THP pages</w:t>
                  </w:r>
                </w:p>
                <w:p>
                  <w:pPr>
                    <w:spacing w:before="100" w:after="0"/>
                  </w:pPr>
                </w:p>
                <w:tbl>
                  <w:tblPr>
                    <w:tblW w:type="dxa" w:w="37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200"/>
                    <w:gridCol w:w="300"/>
                    <w:gridCol w:w="2200"/>
                  </w:tblGrid>
                  <w:tr>
                    <w:tc>
                      <w:tcPr>
                        <w:tcW w:type="dxa" w:w="1200"/>
                        <w:tcBorders>
                          <w:top w:val="single" w:color="C2410C" w:sz="4"/>
                          <w:left w:val="single" w:color="C2410C" w:sz="4"/>
                          <w:bottom w:val="single" w:color="C2410C" w:sz="4"/>
                          <w:right w:val="single" w:color="C2410C" w:sz="4"/>
                        </w:tcBorders>
                        <w:shd w:fill="1A0E00" w:val="clear"/>
                        <w:tcMar>
                          <w:top w:type="dxa" w:w="140"/>
                          <w:left w:type="dxa" w:w="180"/>
                          <w:bottom w:type="dxa" w:w="140"/>
                          <w:right w:type="dxa" w:w="180"/>
                        </w:tcMar>
                        <w:vAlign w:val="center"/>
                      </w:tcPr>
                      <w:p>
                        <w:pPr>
                          <w:spacing w:before="0" w:after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C2410C"/>
                            <w:sz w:val="20"/>
                            <w:szCs w:val="20"/>
                          </w:rPr>
                          <w:t xml:space="preserve">128</w:t>
                        </w:r>
                      </w:p>
                    </w:tc>
                    <w:tc>
                      <w:tcPr>
                        <w:tcW w:type="dxa" w:w="3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1A0E00" w:val="clear"/>
                      </w:tcPr>
                      <w:p/>
                    </w:tc>
                    <w:tc>
                      <w:tcPr>
                        <w:tcW w:type="dxa" w:w="2200"/>
                        <w:tcBorders>
                          <w:top w:val="single" w:color="C2410C" w:sz="4"/>
                          <w:left w:val="single" w:color="C2410C" w:sz="4"/>
                          <w:bottom w:val="single" w:color="C2410C" w:sz="4"/>
                          <w:right w:val="single" w:color="C2410C" w:sz="4"/>
                        </w:tcBorders>
                        <w:shd w:fill="1A0E00" w:val="clear"/>
                        <w:tcMar>
                          <w:top w:type="dxa" w:w="140"/>
                          <w:left w:type="dxa" w:w="180"/>
                          <w:bottom w:type="dxa" w:w="140"/>
                          <w:right w:type="dxa" w:w="180"/>
                        </w:tcMar>
                        <w:vAlign w:val="center"/>
                      </w:tcPr>
                      <w:p>
                        <w:pPr>
                          <w:spacing w:before="0" w:after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color w:val="FED7AA"/>
                            <w:sz w:val="17"/>
                            <w:szCs w:val="17"/>
                          </w:rPr>
                          <w:t xml:space="preserve">PTEs (good!)</w:t>
                        </w:r>
                      </w:p>
                    </w:tc>
                  </w:tr>
                  <w:tr>
                    <w:tc>
                      <w:tcPr>
                        <w:tcW w:type="dxa" w:w="1200"/>
                        <w:tcBorders>
                          <w:top w:val="single" w:color="C2410C" w:sz="4"/>
                          <w:left w:val="single" w:color="C2410C" w:sz="4"/>
                          <w:bottom w:val="single" w:color="C2410C" w:sz="4"/>
                          <w:right w:val="single" w:color="C2410C" w:sz="4"/>
                        </w:tcBorders>
                        <w:shd w:fill="1A0E00" w:val="clear"/>
                        <w:tcMar>
                          <w:top w:type="dxa" w:w="140"/>
                          <w:left w:type="dxa" w:w="180"/>
                          <w:bottom w:type="dxa" w:w="140"/>
                          <w:right w:type="dxa" w:w="180"/>
                        </w:tcMar>
                        <w:vAlign w:val="center"/>
                      </w:tcPr>
                      <w:p>
                        <w:pPr>
                          <w:spacing w:before="0" w:after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C2410C"/>
                            <w:sz w:val="20"/>
                            <w:szCs w:val="20"/>
                          </w:rPr>
                          <w:t xml:space="preserve">1.8 MB</w:t>
                        </w:r>
                      </w:p>
                    </w:tc>
                    <w:tc>
                      <w:tcPr>
                        <w:tcW w:type="dxa" w:w="3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1A0E00" w:val="clear"/>
                      </w:tcPr>
                      <w:p/>
                    </w:tc>
                    <w:tc>
                      <w:tcPr>
                        <w:tcW w:type="dxa" w:w="2200"/>
                        <w:tcBorders>
                          <w:top w:val="single" w:color="C2410C" w:sz="4"/>
                          <w:left w:val="single" w:color="C2410C" w:sz="4"/>
                          <w:bottom w:val="single" w:color="C2410C" w:sz="4"/>
                          <w:right w:val="single" w:color="C2410C" w:sz="4"/>
                        </w:tcBorders>
                        <w:shd w:fill="1A0E00" w:val="clear"/>
                        <w:tcMar>
                          <w:top w:type="dxa" w:w="140"/>
                          <w:left w:type="dxa" w:w="180"/>
                          <w:bottom w:type="dxa" w:w="140"/>
                          <w:right w:type="dxa" w:w="180"/>
                        </w:tcMar>
                        <w:vAlign w:val="center"/>
                      </w:tcPr>
                      <w:p>
                        <w:pPr>
                          <w:spacing w:before="0" w:after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color w:val="FED7AA"/>
                            <w:sz w:val="17"/>
                            <w:szCs w:val="17"/>
                          </w:rPr>
                          <w:t xml:space="preserve">Internal fragmentation bloat</w:t>
                        </w:r>
                      </w:p>
                    </w:tc>
                  </w:tr>
                  <w:tr>
                    <w:tc>
                      <w:tcPr>
                        <w:tcW w:type="dxa" w:w="1200"/>
                        <w:tcBorders>
                          <w:top w:val="single" w:color="C2410C" w:sz="4"/>
                          <w:left w:val="single" w:color="C2410C" w:sz="4"/>
                          <w:bottom w:val="single" w:color="C2410C" w:sz="4"/>
                          <w:right w:val="single" w:color="C2410C" w:sz="4"/>
                        </w:tcBorders>
                        <w:shd w:fill="1A0E00" w:val="clear"/>
                        <w:tcMar>
                          <w:top w:type="dxa" w:w="140"/>
                          <w:left w:type="dxa" w:w="180"/>
                          <w:bottom w:type="dxa" w:w="140"/>
                          <w:right w:type="dxa" w:w="180"/>
                        </w:tcMar>
                        <w:vAlign w:val="center"/>
                      </w:tcPr>
                      <w:p>
                        <w:pPr>
                          <w:spacing w:before="0" w:after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C2410C"/>
                            <w:sz w:val="20"/>
                            <w:szCs w:val="20"/>
                          </w:rPr>
                          <w:t xml:space="preserve">100%</w:t>
                        </w:r>
                      </w:p>
                    </w:tc>
                    <w:tc>
                      <w:tcPr>
                        <w:tcW w:type="dxa" w:w="3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1A0E00" w:val="clear"/>
                      </w:tcPr>
                      <w:p/>
                    </w:tc>
                    <w:tc>
                      <w:tcPr>
                        <w:tcW w:type="dxa" w:w="2200"/>
                        <w:tcBorders>
                          <w:top w:val="single" w:color="C2410C" w:sz="4"/>
                          <w:left w:val="single" w:color="C2410C" w:sz="4"/>
                          <w:bottom w:val="single" w:color="C2410C" w:sz="4"/>
                          <w:right w:val="single" w:color="C2410C" w:sz="4"/>
                        </w:tcBorders>
                        <w:shd w:fill="1A0E00" w:val="clear"/>
                        <w:tcMar>
                          <w:top w:type="dxa" w:w="140"/>
                          <w:left w:type="dxa" w:w="180"/>
                          <w:bottom w:type="dxa" w:w="140"/>
                          <w:right w:type="dxa" w:w="180"/>
                        </w:tcMar>
                        <w:vAlign w:val="center"/>
                      </w:tcPr>
                      <w:p>
                        <w:pPr>
                          <w:spacing w:before="0" w:after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color w:val="FED7AA"/>
                            <w:sz w:val="17"/>
                            <w:szCs w:val="17"/>
                          </w:rPr>
                          <w:t xml:space="preserve">All apps get same size — no fit</w:t>
                        </w:r>
                      </w:p>
                    </w:tc>
                  </w:tr>
                </w:tbl>
                <w:p>
                  <w:pPr>
                    <w:spacing w:before="80" w:after="0"/>
                  </w:pP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2410C"/>
                      <w:sz w:val="18"/>
                      <w:szCs w:val="18"/>
                    </w:rPr>
                    <w:t xml:space="preserve">❌  Memory bloat explodes</w:t>
                  </w:r>
                </w:p>
              </w:tc>
            </w:tr>
          </w:tbl>
          <w:p>
            <w:pPr>
              <w:spacing w:before="120" w:after="0"/>
            </w:pP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68A"/>
                <w:sz w:val="20"/>
                <w:szCs w:val="20"/>
              </w:rPr>
              <w:t xml:space="preserve">⚡  Neither approach solves the full-system picture  —  a smart, adaptive, per-process solution is needed.</w:t>
            </w:r>
          </w:p>
        </w:tc>
      </w:tr>
    </w:tbl>
    <w:p>
      <w:pPr>
        <w:spacing w:before="2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10"/>
              <w:left w:val="single" w:color="B91C1C" w:sz="10"/>
              <w:bottom w:val="single" w:color="B91C1C" w:sz="10"/>
              <w:right w:val="single" w:color="B91C1C" w:sz="10"/>
            </w:tcBorders>
            <w:shd w:fill="B91C1C" w:val="clear"/>
            <w:tcMar>
              <w:top w:type="dxa" w:w="14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🔍  4 Root Causes — Why This Problem Exists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"/>
        <w:gridCol w:w="6160"/>
        <w:gridCol w:w="200"/>
        <w:gridCol w:w="2200"/>
      </w:tblGrid>
      <w:tr>
        <w:tc>
          <w:tcPr>
            <w:tcW w:type="dxa" w:w="600"/>
            <w:tcBorders>
              <w:top w:val="single" w:color="B91C1C" w:sz="10"/>
              <w:left w:val="single" w:color="B91C1C" w:sz="10"/>
              <w:bottom w:val="single" w:color="B91C1C" w:sz="10"/>
              <w:right w:val="single" w:color="B91C1C" w:sz="10"/>
            </w:tcBorders>
            <w:shd w:fill="B91C1C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01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6160"/>
            <w:tcBorders>
              <w:top w:val="single" w:color="B91C1C" w:sz="6"/>
              <w:left w:val="single" w:color="B91C1C" w:sz="6"/>
              <w:bottom w:val="single" w:color="B91C1C" w:sz="6"/>
              <w:right w:val="single" w:color="B91C1C" w:sz="6"/>
            </w:tcBorders>
            <w:shd w:fill="FEE2E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📄  Page Table Memory Explosion at 4 KB</w:t>
            </w:r>
          </w:p>
          <w:p>
            <w:pPr>
              <w:spacing w:before="8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Mapping 1 GB of workload with 4 KB pages requires 262,144 Page Table Entries consuming 2 MB of RAM — purely as overhead. On memory-constrained WearOS/mobile devices with 2–4 GB RAM, this overhead is visible and measurable in /proc/meminfo. No existing kernel mechanism automatically reduces this.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200"/>
            <w:tcBorders>
              <w:top w:val="single" w:color="B91C1C" w:sz="8"/>
              <w:left w:val="single" w:color="B91C1C" w:sz="8"/>
              <w:bottom w:val="single" w:color="B91C1C" w:sz="8"/>
              <w:right w:val="single" w:color="B91C1C" w:sz="8"/>
            </w:tcBorders>
            <w:shd w:fill="B91C1C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KEY METRIC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 MB overhead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"/>
        <w:gridCol w:w="6160"/>
        <w:gridCol w:w="200"/>
        <w:gridCol w:w="2200"/>
      </w:tblGrid>
      <w:tr>
        <w:tc>
          <w:tcPr>
            <w:tcW w:type="dxa" w:w="600"/>
            <w:tcBorders>
              <w:top w:val="single" w:color="C2410C" w:sz="10"/>
              <w:left w:val="single" w:color="C2410C" w:sz="10"/>
              <w:bottom w:val="single" w:color="C2410C" w:sz="10"/>
              <w:right w:val="single" w:color="C2410C" w:sz="10"/>
            </w:tcBorders>
            <w:shd w:fill="C2410C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02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6160"/>
            <w:tcBorders>
              <w:top w:val="single" w:color="C2410C" w:sz="6"/>
              <w:left w:val="single" w:color="C2410C" w:sz="6"/>
              <w:bottom w:val="single" w:color="C2410C" w:sz="6"/>
              <w:right w:val="single" w:color="C2410C" w:sz="6"/>
            </w:tcBorders>
            <w:shd w:fill="FFEDD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2410C"/>
                <w:sz w:val="22"/>
                <w:szCs w:val="22"/>
              </w:rPr>
              <w:t xml:space="preserve">💥  2 MB THP Causes Severe Internal Fragmentation</w:t>
            </w:r>
          </w:p>
          <w:p>
            <w:pPr>
              <w:spacing w:before="8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Classic Transparent Huge Pages force 2 MB allocations system-wide regardless of actual buffer size. A 256 KB ML tensor allocated as 2 MB wastes 1.75 MB per allocation. GPU/camera buffers that are not 2 MB-aligned cause page cache pollution and TLB shootdowns that undo all THP benefits.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200"/>
            <w:tcBorders>
              <w:top w:val="single" w:color="C2410C" w:sz="8"/>
              <w:left w:val="single" w:color="C2410C" w:sz="8"/>
              <w:bottom w:val="single" w:color="C2410C" w:sz="8"/>
              <w:right w:val="single" w:color="C2410C" w:sz="8"/>
            </w:tcBorders>
            <w:shd w:fill="C2410C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KEY METRIC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1.8 MB bloat/alloc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"/>
        <w:gridCol w:w="6160"/>
        <w:gridCol w:w="200"/>
        <w:gridCol w:w="2200"/>
      </w:tblGrid>
      <w:tr>
        <w:tc>
          <w:tcPr>
            <w:tcW w:type="dxa" w:w="600"/>
            <w:tcBorders>
              <w:top w:val="single" w:color="5B21B6" w:sz="10"/>
              <w:left w:val="single" w:color="5B21B6" w:sz="10"/>
              <w:bottom w:val="single" w:color="5B21B6" w:sz="10"/>
              <w:right w:val="single" w:color="5B21B6" w:sz="10"/>
            </w:tcBorders>
            <w:shd w:fill="5B21B6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03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616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EDE9F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🔧  Per-Driver Manual Fixes Do Not Scale</w:t>
            </w:r>
          </w:p>
          <w:p>
            <w:pPr>
              <w:spacing w:before="8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Current solutions (e.g. KGSL Vendor Hook mTHP) require a kernel engineer to hand-implement shmem_suitable_orders() in every driver — GPU today, camera HAL tomorrow, codec the day after. Each subsystem is a separate patch. New apps or new Qualcomm IPs get no benefit until someone writes the code. This approach does not scale across the Android/LE software stack.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200"/>
            <w:tcBorders>
              <w:top w:val="single" w:color="5B21B6" w:sz="8"/>
              <w:left w:val="single" w:color="5B21B6" w:sz="8"/>
              <w:bottom w:val="single" w:color="5B21B6" w:sz="8"/>
              <w:right w:val="single" w:color="5B21B6" w:sz="8"/>
            </w:tcBorders>
            <w:shd w:fill="5B21B6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KEY METRIC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 patches for N drivers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"/>
        <w:gridCol w:w="6160"/>
        <w:gridCol w:w="200"/>
        <w:gridCol w:w="2200"/>
      </w:tblGrid>
      <w:tr>
        <w:tc>
          <w:tcPr>
            <w:tcW w:type="dxa" w:w="600"/>
            <w:tcBorders>
              <w:top w:val="single" w:color="1D4ED8" w:sz="10"/>
              <w:left w:val="single" w:color="1D4ED8" w:sz="10"/>
              <w:bottom w:val="single" w:color="1D4ED8" w:sz="10"/>
              <w:right w:val="single" w:color="1D4ED8" w:sz="10"/>
            </w:tcBorders>
            <w:shd w:fill="1D4ED8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04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6160"/>
            <w:tcBorders>
              <w:top w:val="single" w:color="1D4ED8" w:sz="6"/>
              <w:left w:val="single" w:color="1D4ED8" w:sz="6"/>
              <w:bottom w:val="single" w:color="1D4ED8" w:sz="6"/>
              <w:right w:val="single" w:color="1D4ED8" w:sz="6"/>
            </w:tcBorders>
            <w:shd w:fill="DBEAF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📊  No System-Wide Measurement or Feedback Loop</w:t>
            </w:r>
          </w:p>
          <w:p>
            <w:pPr>
              <w:spacing w:before="8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Linux provides /proc/vmstat counters (thp_fault_alloc, thp_split_page) but no tool correlates THP promotion decisions with per-process memory savings in real time. Fragmentation state (buddy allocator free pages) is not fed back into the THP selection path — so the kernel can promote pages into a nearly-full buddy zone, causing immediate splits and negating all gains.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200"/>
            <w:tcBorders>
              <w:top w:val="single" w:color="1D4ED8" w:sz="8"/>
              <w:left w:val="single" w:color="1D4ED8" w:sz="8"/>
              <w:bottom w:val="single" w:color="1D4ED8" w:sz="8"/>
              <w:right w:val="single" w:color="1D4ED8" w:sz="8"/>
            </w:tcBorders>
            <w:shd w:fill="1D4ED8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KEY METRIC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 live feedback loop</w:t>
            </w:r>
          </w:p>
        </w:tc>
      </w:tr>
    </w:tbl>
    <w:p>
      <w:pPr>
        <w:spacing w:before="2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0F2A5E" w:sz="10"/>
              <w:left w:val="single" w:color="0F2A5E" w:sz="10"/>
              <w:bottom w:val="single" w:color="0F2A5E" w:sz="10"/>
              <w:right w:val="single" w:color="0F2A5E" w:sz="10"/>
            </w:tcBorders>
            <w:shd w:fill="0F2A5E" w:val="clear"/>
            <w:tcMar>
              <w:top w:type="dxa" w:w="10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 Gap Summary — What ARM64 Devices Are Missing</w:t>
            </w:r>
          </w:p>
        </w:tc>
      </w:tr>
      <w:tr>
        <w:tc>
          <w:tcPr>
            <w:tcW w:type="dxa" w:w="2340"/>
            <w:tcBorders>
              <w:top w:val="single" w:color="1D4ED8" w:sz="8"/>
              <w:left w:val="single" w:color="1D4ED8" w:sz="8"/>
              <w:bottom w:val="single" w:color="1D4ED8" w:sz="8"/>
              <w:right w:val="single" w:color="1D4ED8" w:sz="8"/>
            </w:tcBorders>
            <w:shd w:fill="DBEAFE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8"/>
                <w:szCs w:val="28"/>
              </w:rPr>
              <w:t xml:space="preserve">🎯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2A5E"/>
                <w:sz w:val="18"/>
                <w:szCs w:val="18"/>
              </w:rPr>
              <w:t xml:space="preserve">Per-process page size selection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7"/>
                <w:szCs w:val="17"/>
              </w:rPr>
              <w:t xml:space="preserve">Kernel treats all apps identically</w:t>
            </w:r>
          </w:p>
        </w:tc>
        <w:tc>
          <w:tcPr>
            <w:tcW w:type="dxa" w:w="2340"/>
            <w:tcBorders>
              <w:top w:val="single" w:color="1D4ED8" w:sz="8"/>
              <w:left w:val="single" w:color="1D4ED8" w:sz="8"/>
              <w:bottom w:val="single" w:color="1D4ED8" w:sz="8"/>
              <w:right w:val="single" w:color="1D4ED8" w:sz="8"/>
            </w:tcBorders>
            <w:shd w:fill="DBEAFE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8"/>
                <w:szCs w:val="28"/>
              </w:rPr>
              <w:t xml:space="preserve">🔁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2A5E"/>
                <w:sz w:val="18"/>
                <w:szCs w:val="18"/>
              </w:rPr>
              <w:t xml:space="preserve">Real-time buddy feedback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7"/>
                <w:szCs w:val="17"/>
              </w:rPr>
              <w:t xml:space="preserve">No fragmentation guard in THP path</w:t>
            </w:r>
          </w:p>
        </w:tc>
        <w:tc>
          <w:tcPr>
            <w:tcW w:type="dxa" w:w="2340"/>
            <w:tcBorders>
              <w:top w:val="single" w:color="1D4ED8" w:sz="8"/>
              <w:left w:val="single" w:color="1D4ED8" w:sz="8"/>
              <w:bottom w:val="single" w:color="1D4ED8" w:sz="8"/>
              <w:right w:val="single" w:color="1D4ED8" w:sz="8"/>
            </w:tcBorders>
            <w:shd w:fill="DBEAFE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8"/>
                <w:szCs w:val="28"/>
              </w:rPr>
              <w:t xml:space="preserve">📐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2A5E"/>
                <w:sz w:val="18"/>
                <w:szCs w:val="18"/>
              </w:rPr>
              <w:t xml:space="preserve">Zero driver changes needed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7"/>
                <w:szCs w:val="17"/>
              </w:rPr>
              <w:t xml:space="preserve">Every subsystem needs manual patch</w:t>
            </w:r>
          </w:p>
        </w:tc>
        <w:tc>
          <w:tcPr>
            <w:tcW w:type="dxa" w:w="2340"/>
            <w:tcBorders>
              <w:top w:val="single" w:color="1D4ED8" w:sz="8"/>
              <w:left w:val="single" w:color="1D4ED8" w:sz="8"/>
              <w:bottom w:val="single" w:color="1D4ED8" w:sz="8"/>
              <w:right w:val="single" w:color="1D4ED8" w:sz="8"/>
            </w:tcBorders>
            <w:shd w:fill="DBEAFE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8"/>
                <w:szCs w:val="28"/>
              </w:rPr>
              <w:t xml:space="preserve">📉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2A5E"/>
                <w:sz w:val="18"/>
                <w:szCs w:val="18"/>
              </w:rPr>
              <w:t xml:space="preserve">Quantified RAM savings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7"/>
                <w:szCs w:val="17"/>
              </w:rPr>
              <w:t xml:space="preserve">No tool measures MB freed per app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2"/>
              <w:left w:val="single" w:color="15803D" w:sz="12"/>
              <w:bottom w:val="single" w:color="15803D" w:sz="12"/>
              <w:right w:val="single" w:color="15803D" w:sz="12"/>
            </w:tcBorders>
            <w:shd w:fill="14532D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arm64-mTHP Autopilot solves all 4 root causes simultaneously —</w:t>
            </w:r>
          </w:p>
          <w:p>
            <w:pPr>
              <w:spacing w:before="8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6EFAC"/>
                <w:sz w:val="22"/>
                <w:szCs w:val="22"/>
              </w:rPr>
              <w:t xml:space="preserve">zero driver changes, system-wide, with 1.9 MB of real RAM freed and measurable in /proc/meminfo.</w:t>
            </w:r>
          </w:p>
        </w:tc>
      </w:tr>
    </w:tbl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2026-03-05T20:08:16.430Z</dcterms:created>
  <dcterms:modified xsi:type="dcterms:W3CDTF">2026-03-05T20:08:16.431Z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