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832320f7ab834479" /><Relationship Type="http://schemas.openxmlformats.org/package/2006/relationships/metadata/core-properties" Target="/docProps/core.xml" Id="R7cd805488e8149bb" /><Relationship Type="http://schemas.openxmlformats.org/officeDocument/2006/relationships/extended-properties" Target="/docProps/app.xml" Id="R2c2ae1f9cd274ac2" /><Relationship Type="http://schemas.openxmlformats.org/officeDocument/2006/relationships/custom-properties" Target="/docProps/custom.xml" Id="Re550776373d04a0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color w:val="1F2D5A"/>
          <w:sz w:val="72"/>
        </w:rPr>
        <w:t xml:space="preserve">CyberSentinel</w:t>
      </w:r>
    </w:p>
    <w:p w14:paraId="00100002" w14:textId="00100003">
      <w:pPr>
        <w:pStyle w:val="Normal"/>
        <w:spacing w:after="80"/>
        <w:jc w:val="center"/>
      </w:pPr>
      <w:r>
        <w:rPr>
          <w:color w:val="57606A"/>
          <w:sz w:val="28"/>
        </w:rPr>
        <w:t xml:space="preserve">Advanced Cybersecurity Operations &amp; Application Security Platform</w:t>
      </w:r>
    </w:p>
    <w:p w14:paraId="00100004" w14:textId="00100005">
      <w:pPr>
        <w:pStyle w:val="Normal"/>
        <w:spacing w:after="80"/>
        <w:jc w:val="center"/>
      </w:pPr>
      <w:r>
        <w:rPr>
          <w:b/>
          <w:color w:val="1F2D5A"/>
          <w:sz w:val="32"/>
        </w:rPr>
        <w:t xml:space="preserve">Project Report</w:t>
      </w:r>
    </w:p>
    <w:p w14:paraId="00100006" w14:textId="00100007">
      <w:pPr>
        <w:pStyle w:val="Normal"/>
        <w:spacing w:after="480"/>
        <w:jc w:val="center"/>
      </w:pPr>
      <w:r>
        <w:rPr>
          <w:color w:val="57606A"/>
          <w:sz w:val="22"/>
        </w:rPr>
        <w:t xml:space="preserve">Version 1.0  |  Prepared by: Suyog Shelke  |  License: MIT</w:t>
      </w:r>
    </w:p>
    <w:p w14:paraId="00100008" w14:textId="00100009">
      <w:pPr>
        <w:pStyle w:val="Heading1"/>
        <w:spacing w:before="240" w:after="160"/>
      </w:pPr>
      <w:r>
        <w:rPr>
          <w:b/>
          <w:color w:val="1F2D5A"/>
          <w:sz w:val="36"/>
        </w:rPr>
        <w:t xml:space="preserve">Table of Contents</w:t>
      </w:r>
    </w:p>
    <w:p w14:paraId="0010003E" w14:textId="0010003F">
      <w:r>
        <w:fldChar w:fldCharType="begin"/>
      </w:r>
      <w:r>
        <w:instrText xml:space="preserve"> TOC \o "1-3" \h \u </w:instrText>
      </w:r>
      <w:r>
        <w:fldChar w:fldCharType="separate"/>
      </w:r>
      <w:r>
        <w:t xml:space="preserve">Update field to see table of contents</w:t>
      </w:r>
      <w:r>
        <w:fldChar w:fldCharType="end"/>
      </w:r>
    </w:p>
    <w:p w14:paraId="0010000A" w14:textId="0010000B">
      <w:pPr>
        <w:pStyle w:val="Heading1"/>
        <w:spacing w:before="480" w:after="160"/>
      </w:pPr>
      <w:r>
        <w:rPr>
          <w:b/>
          <w:color w:val="1F2D5A"/>
          <w:sz w:val="36"/>
        </w:rPr>
        <w:t xml:space="preserve">1. Executive Summary</w:t>
      </w:r>
    </w:p>
    <w:p w14:paraId="0010000C" w14:textId="0010000D">
      <w:pPr>
        <w:pStyle w:val="Normal"/>
        <w:spacing w:after="160"/>
      </w:pPr>
      <w:r>
        <w:rPr>
          <w:sz w:val="22"/>
        </w:rPr>
        <w:t xml:space="preserve">CyberSentinel is an enterprise-grade, full-stack cybersecurity operations and application security management platform. It unifies web and API security scanning, vulnerability lifecycle management, SIEM-style real-time event monitoring, rule-based threat detection, threat intelligence enrichment, asset risk scoring, SOC incident response workflows, DevSecOps pipeline integration, and AI-powered security analyst recommendations into a single holographic command centre.</w:t>
      </w:r>
    </w:p>
    <w:p w14:paraId="0010000E" w14:textId="0010000F">
      <w:pPr>
        <w:pStyle w:val="Normal"/>
        <w:spacing w:after="160"/>
      </w:pPr>
      <w:r>
        <w:rPr>
          <w:sz w:val="22"/>
        </w:rPr>
        <w:t xml:space="preserve">The platform is built on a modern microservices-inspired architecture: a Django REST + Channels backend serving a React 18 / Three.js frontend, backed by PostgreSQL for persistent storage, Redis for caching and real-time messaging, and Celery for asynchronous task processing. Every service is containerised with Docker and orchestrated via Docker Compose, enabling a single-command deployment.</w:t>
      </w:r>
    </w:p>
    <w:p w14:paraId="00100010" w14:textId="00100011">
      <w:pPr>
        <w:pStyle w:val="Normal"/>
        <w:spacing w:after="160"/>
      </w:pPr>
      <w:r>
        <w:rPr>
          <w:sz w:val="22"/>
        </w:rPr>
        <w:t xml:space="preserve">This report covers the project objectives, system architecture, key features, technology stack, module descriptions, security design decisions, deployment strategy, testing approach, dependencies, and the development roadmap.</w:t>
      </w:r>
    </w:p>
    <w:p w14:paraId="00100012" w14:textId="00100013">
      <w:pPr>
        <w:pStyle w:val="Heading1"/>
        <w:spacing w:before="400" w:after="160"/>
      </w:pPr>
      <w:r>
        <w:rPr>
          <w:b/>
          <w:color w:val="1F2D5A"/>
          <w:sz w:val="36"/>
        </w:rPr>
        <w:t xml:space="preserve">2. Project Objectives</w:t>
      </w:r>
    </w:p>
    <w:p w14:paraId="00100014" w14:textId="00100015">
      <w:pPr>
        <w:pStyle w:val="Normal"/>
        <w:spacing w:after="160"/>
      </w:pPr>
      <w:r>
        <w:rPr>
          <w:sz w:val="22"/>
        </w:rPr>
        <w:t xml:space="preserve">Modern organisations face decentralised security challenges: siloed vulnerability tools, disconnected SIEM alerts, scattered threat intelligence feeds, and slow incident triage. CyberSentinel bridges these gaps with the following primary objectives:</w:t>
      </w:r>
    </w:p>
    <w:p w14:paraId="00100016" w14:textId="00100017">
      <w:pPr>
        <w:pStyle w:val="Normal"/>
        <w:numPr>
          <w:ilvl w:val="0"/>
          <w:numId w:val="1"/>
        </w:numPr>
        <w:spacing w:after="80"/>
      </w:pPr>
      <w:r>
        <w:rPr>
          <w:sz w:val="22"/>
        </w:rPr>
        <w:t xml:space="preserve">Automate application security testing using OWASP ZAP dynamic scanning, TLS/SSL inspection, security header validation, and OpenAPI specification audits.</w:t>
      </w:r>
    </w:p>
    <w:p w14:paraId="00100018" w14:textId="00100019">
      <w:pPr>
        <w:pStyle w:val="Normal"/>
        <w:numPr>
          <w:ilvl w:val="0"/>
          <w:numId w:val="1"/>
        </w:numPr>
        <w:spacing w:after="80"/>
      </w:pPr>
      <w:r>
        <w:rPr>
          <w:sz w:val="22"/>
        </w:rPr>
        <w:t xml:space="preserve">Ingest and stream security events in real time over WebSockets using a SIEM-style pipeline, enabling sub-second alert delivery.</w:t>
      </w:r>
    </w:p>
    <w:p w14:paraId="0010001A" w14:textId="0010001B">
      <w:pPr>
        <w:pStyle w:val="Normal"/>
        <w:numPr>
          <w:ilvl w:val="0"/>
          <w:numId w:val="1"/>
        </w:numPr>
        <w:spacing w:after="80"/>
      </w:pPr>
      <w:r>
        <w:rPr>
          <w:sz w:val="22"/>
        </w:rPr>
        <w:t xml:space="preserve">Enrich indicators of compromise (IOC) automatically against VirusTotal, AlienVault OTX, and AbuseIPDB threat intelligence feeds.</w:t>
      </w:r>
    </w:p>
    <w:p w14:paraId="0010001C" w14:textId="0010001D">
      <w:pPr>
        <w:pStyle w:val="Normal"/>
        <w:numPr>
          <w:ilvl w:val="0"/>
          <w:numId w:val="1"/>
        </w:numPr>
        <w:spacing w:after="80"/>
      </w:pPr>
      <w:r>
        <w:rPr>
          <w:sz w:val="22"/>
        </w:rPr>
        <w:t xml:space="preserve">Calculate continuous dynamic risk scores per asset based on CVE/CVSS severity, network exposure, active threats, and historical incidents.</w:t>
      </w:r>
    </w:p>
    <w:p w14:paraId="0010001E" w14:textId="0010001F">
      <w:pPr>
        <w:pStyle w:val="Normal"/>
        <w:numPr>
          <w:ilvl w:val="0"/>
          <w:numId w:val="1"/>
        </w:numPr>
        <w:spacing w:after="80"/>
      </w:pPr>
      <w:r>
        <w:rPr>
          <w:sz w:val="22"/>
        </w:rPr>
        <w:t xml:space="preserve">Provide end-to-end SOC incident response management with forensic timelines, evidence attachments, and analyst task assignment.</w:t>
      </w:r>
    </w:p>
    <w:p w14:paraId="00100020" w14:textId="00100021">
      <w:pPr>
        <w:pStyle w:val="Normal"/>
        <w:numPr>
          <w:ilvl w:val="0"/>
          <w:numId w:val="1"/>
        </w:numPr>
        <w:spacing w:after="80"/>
      </w:pPr>
      <w:r>
        <w:rPr>
          <w:sz w:val="22"/>
        </w:rPr>
        <w:t xml:space="preserve">Deliver AI-assisted vulnerability triage via OpenAI GPT, translating cryptic findings into plain-English root causes and remediation steps.</w:t>
      </w:r>
    </w:p>
    <w:p w14:paraId="00100022" w14:textId="00100023">
      <w:pPr>
        <w:pStyle w:val="Normal"/>
        <w:numPr>
          <w:ilvl w:val="0"/>
          <w:numId w:val="1"/>
        </w:numPr>
        <w:spacing w:after="160"/>
      </w:pPr>
      <w:r>
        <w:rPr>
          <w:sz w:val="22"/>
        </w:rPr>
        <w:t xml:space="preserve">Integrate with DevSecOps CI/CD pipelines by receiving SAST, dependency audit, and IaC analysis results via webhooks.</w:t>
      </w:r>
    </w:p>
    <w:p w14:paraId="00100024" w14:textId="00100025">
      <w:pPr>
        <w:pStyle w:val="Heading1"/>
        <w:spacing w:before="400" w:after="160"/>
      </w:pPr>
      <w:r>
        <w:rPr>
          <w:b/>
          <w:color w:val="1F2D5A"/>
          <w:sz w:val="36"/>
        </w:rPr>
        <w:t xml:space="preserve">3. System Architecture</w:t>
      </w:r>
    </w:p>
    <w:p w14:paraId="00100026" w14:textId="00100027">
      <w:pPr>
        <w:pStyle w:val="Normal"/>
        <w:spacing w:after="160"/>
      </w:pPr>
      <w:r>
        <w:rPr>
          <w:sz w:val="22"/>
        </w:rPr>
        <w:t xml:space="preserve">CyberSentinel follows a layered, service-oriented architecture. The diagram below describes the major components and their communication paths.</w:t>
      </w:r>
    </w:p>
    <w:p w14:paraId="00100028" w14:textId="00100029">
      <w:pPr>
        <w:pStyle w:val="Heading2"/>
        <w:spacing w:before="240" w:after="120"/>
      </w:pPr>
      <w:r>
        <w:rPr>
          <w:b/>
          <w:color w:val="1F2D5A"/>
          <w:sz w:val="28"/>
        </w:rPr>
        <w:t xml:space="preserve">3.1 Architecture Overview</w:t>
      </w:r>
    </w:p>
    <w:p w14:paraId="0010002A" w14:textId="0010002B">
      <w:pPr>
        <w:pStyle w:val="Normal"/>
        <w:spacing w:after="120"/>
      </w:pPr>
      <w:r>
        <w:rPr>
          <w:sz w:val="22"/>
        </w:rPr>
        <w:t xml:space="preserve">Layer 1 — Presentation (React Frontend): The user interface is a React 18 Single-Page Application built with TypeScript and Vite. It communicates with the backend over REST for data operations and over native WebSocket for live event streaming. Three.js and React Three Fiber power the 3D holographic command-centre visualisation.</w:t>
      </w:r>
    </w:p>
    <w:p w14:paraId="0010002C" w14:textId="0010002D">
      <w:pPr>
        <w:pStyle w:val="Normal"/>
        <w:spacing w:after="120"/>
      </w:pPr>
      <w:r>
        <w:rPr>
          <w:sz w:val="22"/>
        </w:rPr>
        <w:t xml:space="preserve">Layer 2 — Reverse Proxy (Nginx): Nginx terminates TLS, routes /api/* and WebSocket upgrade requests to the Django backend, and serves compiled React static assets directly. This decouples horizontal scaling of the backend from the static asset CDN layer.</w:t>
      </w:r>
    </w:p>
    <w:p w14:paraId="0010002E" w14:textId="0010002F">
      <w:pPr>
        <w:pStyle w:val="Normal"/>
        <w:spacing w:after="120"/>
      </w:pPr>
      <w:r>
        <w:rPr>
          <w:sz w:val="22"/>
        </w:rPr>
        <w:t xml:space="preserve">Layer 3 — Application Server (Django + Channels): The Django application runs under Uvicorn as an ASGI server, enabling simultaneous handling of HTTP and WebSocket connections. Django REST Framework exposes a versioned RESTful API; Django Channels manages WebSocket consumers for real-time event streaming.</w:t>
      </w:r>
    </w:p>
    <w:p w14:paraId="00100030" w14:textId="00100031">
      <w:pPr>
        <w:pStyle w:val="Normal"/>
        <w:spacing w:after="120"/>
      </w:pPr>
      <w:r>
        <w:rPr>
          <w:sz w:val="22"/>
        </w:rPr>
        <w:t xml:space="preserve">Layer 4 — Task Queue (Celery + Redis): Long-running operations — OWASP ZAP scans, threat intelligence lookups, report generation, and risk recalculation — are offloaded to Celery workers. Celery Beat handles scheduled periodic tasks (e.g. nightly full-site scans). Redis acts as both the Celery message broker and the Django Channels channel layer.</w:t>
      </w:r>
    </w:p>
    <w:p w14:paraId="00100032" w14:textId="00100033">
      <w:pPr>
        <w:pStyle w:val="Normal"/>
        <w:spacing w:after="120"/>
      </w:pPr>
      <w:r>
        <w:rPr>
          <w:sz w:val="22"/>
        </w:rPr>
        <w:t xml:space="preserve">Layer 5 — Data Store (PostgreSQL): All persistent application data — users, organisations, assets, vulnerabilities, incidents, events, and audit records — reside in a PostgreSQL 15 relational database. The schema is managed entirely through Django migrations.</w:t>
      </w:r>
    </w:p>
    <w:p w14:paraId="00100034" w14:textId="00100035">
      <w:pPr>
        <w:pStyle w:val="Normal"/>
        <w:spacing w:after="160"/>
      </w:pPr>
      <w:r>
        <w:rPr>
          <w:sz w:val="22"/>
        </w:rPr>
        <w:t xml:space="preserve">External Integrations: OWASP ZAP Daemon (dynamic scanning), VirusTotal API (IOC enrichment), AlienVault OTX (threat intelligence), AbuseIPDB (IP reputation), and OpenAI GPT API (AI analyst).</w:t>
      </w:r>
    </w:p>
    <w:p w14:paraId="00100036" w14:textId="00100037">
      <w:pPr>
        <w:pStyle w:val="Heading2"/>
        <w:spacing w:before="240" w:after="120"/>
      </w:pPr>
      <w:r>
        <w:rPr>
          <w:b/>
          <w:color w:val="1F2D5A"/>
          <w:sz w:val="28"/>
        </w:rPr>
        <w:t xml:space="preserve">3.2 Component Communication</w:t>
      </w:r>
    </w:p>
    <w:p w14:paraId="00100038" w14:textId="00100039">
      <w:pPr>
        <w:pStyle w:val="Normal"/>
        <w:numPr>
          <w:ilvl w:val="0"/>
          <w:numId w:val="2"/>
        </w:numPr>
        <w:spacing w:after="80"/>
      </w:pPr>
      <w:r>
        <w:rPr>
          <w:sz w:val="22"/>
        </w:rPr>
        <w:t xml:space="preserve">REST API: All CRUD operations, scan triggers, report generation requests, and configuration updates flow over HTTPS REST endpoints documented via OpenAPI 3.0 (Swagger UI at /api/docs/).</w:t>
      </w:r>
    </w:p>
    <w:p w14:paraId="0010003A" w14:textId="0010003B">
      <w:pPr>
        <w:pStyle w:val="Normal"/>
        <w:numPr>
          <w:ilvl w:val="0"/>
          <w:numId w:val="2"/>
        </w:numPr>
        <w:spacing w:after="80"/>
      </w:pPr>
      <w:r>
        <w:rPr>
          <w:sz w:val="22"/>
        </w:rPr>
        <w:t xml:space="preserve">WebSocket (ws://): Security events and SIEM alerts are pushed server-to-client in real time via Django Channels WebSocket consumers, enabling live dashboard updates without polling.</w:t>
      </w:r>
    </w:p>
    <w:p w14:paraId="0010003C" w14:textId="0010003D">
      <w:pPr>
        <w:pStyle w:val="Normal"/>
        <w:numPr>
          <w:ilvl w:val="0"/>
          <w:numId w:val="2"/>
        </w:numPr>
        <w:spacing w:after="160"/>
      </w:pPr>
      <w:r>
        <w:rPr>
          <w:sz w:val="22"/>
        </w:rPr>
        <w:t xml:space="preserve">Celery Task Bus: The backend dispatches tasks to Celery workers via Redis. Workers publish task results back to Django via the django-celery-results backend, allowing the API to report scan progress asynchronously.</w:t>
      </w:r>
    </w:p>
    <w:p w14:paraId="00100040" w14:textId="00100041">
      <w:pPr>
        <w:pStyle w:val="Heading1"/>
        <w:spacing w:before="400" w:after="160"/>
      </w:pPr>
      <w:r>
        <w:rPr>
          <w:b/>
          <w:color w:val="1F2D5A"/>
          <w:sz w:val="36"/>
        </w:rPr>
        <w:t xml:space="preserve">4. Key Features</w:t>
      </w:r>
    </w:p>
    <w:p w14:paraId="00100042" w14:textId="00100043">
      <w:pPr>
        <w:pStyle w:val="Normal"/>
        <w:spacing w:after="160"/>
      </w:pPr>
      <w:r>
        <w:rPr>
          <w:sz w:val="22"/>
        </w:rPr>
        <w:t xml:space="preserve">The following table summarises all major functional modules delivered in this release.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07C" w14:textId="0010007D"/>
        </w:tc>
        <w:tc>
          <w:p w14:paraId="0010007E" w14:textId="0010007F"/>
        </w:tc>
        <w:tc>
          <w:p w14:paraId="00100080" w14:textId="00100081"/>
        </w:tc>
      </w:tr>
      <w:tr>
        <w:tc>
          <w:p w14:paraId="00100082" w14:textId="00100083"/>
        </w:tc>
        <w:tc>
          <w:p w14:paraId="00100084" w14:textId="00100085"/>
        </w:tc>
        <w:tc>
          <w:p w14:paraId="00100086" w14:textId="00100087"/>
        </w:tc>
      </w:tr>
      <w:tr>
        <w:tc>
          <w:p w14:paraId="00100088" w14:textId="00100089"/>
        </w:tc>
        <w:tc>
          <w:p w14:paraId="0010008A" w14:textId="0010008B"/>
        </w:tc>
        <w:tc>
          <w:p w14:paraId="0010008C" w14:textId="0010008D"/>
        </w:tc>
      </w:tr>
      <w:tr>
        <w:tc>
          <w:p w14:paraId="0010008E" w14:textId="0010008F"/>
        </w:tc>
        <w:tc>
          <w:p w14:paraId="00100090" w14:textId="00100091"/>
        </w:tc>
        <w:tc>
          <w:p w14:paraId="00100092" w14:textId="00100093"/>
        </w:tc>
      </w:tr>
      <w:tr>
        <w:tc>
          <w:p w14:paraId="00100094" w14:textId="00100095"/>
        </w:tc>
        <w:tc>
          <w:p w14:paraId="00100096" w14:textId="00100097"/>
        </w:tc>
        <w:tc>
          <w:p w14:paraId="00100098" w14:textId="00100099"/>
        </w:tc>
      </w:tr>
      <w:tr>
        <w:tc>
          <w:p w14:paraId="0010009A" w14:textId="0010009B"/>
        </w:tc>
        <w:tc>
          <w:p w14:paraId="0010009C" w14:textId="0010009D"/>
        </w:tc>
        <w:tc>
          <w:p w14:paraId="0010009E" w14:textId="0010009F"/>
        </w:tc>
      </w:tr>
      <w:tr>
        <w:tc>
          <w:p w14:paraId="001000A0" w14:textId="001000A1"/>
        </w:tc>
        <w:tc>
          <w:p w14:paraId="001000A2" w14:textId="001000A3"/>
        </w:tc>
        <w:tc>
          <w:p w14:paraId="001000A4" w14:textId="001000A5"/>
        </w:tc>
      </w:tr>
      <w:tr>
        <w:tc>
          <w:p w14:paraId="001000A6" w14:textId="001000A7"/>
        </w:tc>
        <w:tc>
          <w:p w14:paraId="001000A8" w14:textId="001000A9"/>
        </w:tc>
        <w:tc>
          <w:p w14:paraId="001000AA" w14:textId="001000AB"/>
        </w:tc>
      </w:tr>
      <w:tr>
        <w:tc>
          <w:p w14:paraId="001000AC" w14:textId="001000AD"/>
        </w:tc>
        <w:tc>
          <w:p w14:paraId="001000AE" w14:textId="001000AF"/>
        </w:tc>
        <w:tc>
          <w:p w14:paraId="001000B0" w14:textId="001000B1"/>
        </w:tc>
      </w:tr>
      <w:tr>
        <w:tc>
          <w:p w14:paraId="001000B2" w14:textId="001000B3"/>
        </w:tc>
        <w:tc>
          <w:p w14:paraId="001000B4" w14:textId="001000B5"/>
        </w:tc>
        <w:tc>
          <w:p w14:paraId="001000B6" w14:textId="001000B7"/>
        </w:tc>
      </w:tr>
      <w:tr>
        <w:tc>
          <w:p w14:paraId="001000B8" w14:textId="001000B9"/>
        </w:tc>
        <w:tc>
          <w:p w14:paraId="001000BA" w14:textId="001000BB"/>
        </w:tc>
        <w:tc>
          <w:p w14:paraId="001000BC" w14:textId="001000BD"/>
        </w:tc>
      </w:tr>
      <w:tr>
        <w:tc>
          <w:p w14:paraId="001000BE" w14:textId="001000BF"/>
        </w:tc>
        <w:tc>
          <w:p w14:paraId="001000C0" w14:textId="001000C1"/>
        </w:tc>
        <w:tc>
          <w:p w14:paraId="001000C2" w14:textId="001000C3"/>
        </w:tc>
      </w:tr>
      <w:tr>
        <w:tc>
          <w:p w14:paraId="001000C4" w14:textId="001000C5"/>
        </w:tc>
        <w:tc>
          <w:p w14:paraId="001000C6" w14:textId="001000C7"/>
        </w:tc>
        <w:tc>
          <w:p w14:paraId="001000C8" w14:textId="001000C9"/>
        </w:tc>
      </w:tr>
      <w:tr>
        <w:tc>
          <w:p w14:paraId="001000CA" w14:textId="001000CB"/>
        </w:tc>
        <w:tc>
          <w:p w14:paraId="001000CC" w14:textId="001000CD"/>
        </w:tc>
        <w:tc>
          <w:p w14:paraId="001000CE" w14:textId="001000CF"/>
        </w:tc>
      </w:tr>
    </w:tbl>
    <w:p w14:paraId="00100046" w14:textId="00100047">
      <w:pPr>
        <w:pStyle w:val="Heading1"/>
        <w:spacing w:before="400" w:after="160"/>
      </w:pPr>
      <w:r>
        <w:rPr>
          <w:b/>
          <w:color w:val="1F2D5A"/>
          <w:sz w:val="36"/>
        </w:rPr>
        <w:t xml:space="preserve">5. Technology Stack</w:t>
      </w:r>
    </w:p>
    <w:p w14:paraId="00100048" w14:textId="00100049">
      <w:pPr>
        <w:pStyle w:val="Heading2"/>
        <w:spacing w:before="240" w:after="120"/>
      </w:pPr>
      <w:r>
        <w:rPr>
          <w:b/>
          <w:color w:val="1F2D5A"/>
          <w:sz w:val="28"/>
        </w:rPr>
        <w:t xml:space="preserve">5.1 Frontend</w:t>
      </w:r>
    </w:p>
    <w:p w14:paraId="0010004A" w14:textId="0010004B">
      <w:pPr>
        <w:pStyle w:val="Normal"/>
        <w:numPr>
          <w:ilvl w:val="0"/>
          <w:numId w:val="3"/>
        </w:numPr>
        <w:spacing w:after="80"/>
      </w:pPr>
      <w:r>
        <w:rPr>
          <w:sz w:val="22"/>
        </w:rPr>
        <w:t xml:space="preserve">React 18 + TypeScript + Vite: The core UI framework. TypeScript enforces type safety across all component props and API contracts. Vite provides near-instant hot-module replacement during development and optimised production bundles.</w:t>
      </w:r>
    </w:p>
    <w:p w14:paraId="0010004C" w14:textId="0010004D">
      <w:pPr>
        <w:pStyle w:val="Normal"/>
        <w:numPr>
          <w:ilvl w:val="0"/>
          <w:numId w:val="3"/>
        </w:numPr>
        <w:spacing w:after="80"/>
      </w:pPr>
      <w:r>
        <w:rPr>
          <w:sz w:val="22"/>
        </w:rPr>
        <w:t xml:space="preserve">Tailwind CSS + PostCSS: Utility-first styling with PostCSS for autoprefixing and purging unused classes in production builds.</w:t>
      </w:r>
    </w:p>
    <w:p w14:paraId="0010004E" w14:textId="0010004F">
      <w:pPr>
        <w:pStyle w:val="Normal"/>
        <w:numPr>
          <w:ilvl w:val="0"/>
          <w:numId w:val="3"/>
        </w:numPr>
        <w:spacing w:after="80"/>
      </w:pPr>
      <w:r>
        <w:rPr>
          <w:sz w:val="22"/>
        </w:rPr>
        <w:t xml:space="preserve">Three.js + @react-three/fiber + @react-three/drei: Powers the 3D holographic security command centre — animated threat spheres, incident radar, and vulnerability orbitals.</w:t>
      </w:r>
    </w:p>
    <w:p w14:paraId="00100050" w14:textId="00100051">
      <w:pPr>
        <w:pStyle w:val="Normal"/>
        <w:numPr>
          <w:ilvl w:val="0"/>
          <w:numId w:val="3"/>
        </w:numPr>
        <w:spacing w:after="80"/>
      </w:pPr>
      <w:r>
        <w:rPr>
          <w:sz w:val="22"/>
        </w:rPr>
        <w:t xml:space="preserve">Recharts: Declarative SVG charts for time-series event graphs, vulnerability severity distribution, and risk trend lines.</w:t>
      </w:r>
    </w:p>
    <w:p w14:paraId="00100052" w14:textId="00100053">
      <w:pPr>
        <w:pStyle w:val="Normal"/>
        <w:numPr>
          <w:ilvl w:val="0"/>
          <w:numId w:val="3"/>
        </w:numPr>
        <w:spacing w:after="80"/>
      </w:pPr>
      <w:r>
        <w:rPr>
          <w:sz w:val="22"/>
        </w:rPr>
        <w:t xml:space="preserve">Zustand: Lightweight global state management for authentication context and theme preferences.</w:t>
      </w:r>
    </w:p>
    <w:p w14:paraId="00100054" w14:textId="00100055">
      <w:pPr>
        <w:pStyle w:val="Normal"/>
        <w:numPr>
          <w:ilvl w:val="0"/>
          <w:numId w:val="3"/>
        </w:numPr>
        <w:spacing w:after="80"/>
      </w:pPr>
      <w:r>
        <w:rPr>
          <w:sz w:val="22"/>
        </w:rPr>
        <w:t xml:space="preserve">Axios: HTTP client with interceptors for JWT token injection and 401 refresh handling.</w:t>
      </w:r>
    </w:p>
    <w:p w14:paraId="00100056" w14:textId="00100057">
      <w:pPr>
        <w:pStyle w:val="Normal"/>
        <w:numPr>
          <w:ilvl w:val="0"/>
          <w:numId w:val="3"/>
        </w:numPr>
        <w:spacing w:after="80"/>
      </w:pPr>
      <w:r>
        <w:rPr>
          <w:sz w:val="22"/>
        </w:rPr>
        <w:t xml:space="preserve">Framer Motion: Smooth page transitions and micro-animations for alert toasts and modal overlays.</w:t>
      </w:r>
    </w:p>
    <w:p w14:paraId="00100058" w14:textId="00100059">
      <w:pPr>
        <w:pStyle w:val="Normal"/>
        <w:numPr>
          <w:ilvl w:val="0"/>
          <w:numId w:val="3"/>
        </w:numPr>
        <w:spacing w:after="120"/>
      </w:pPr>
      <w:r>
        <w:rPr>
          <w:sz w:val="22"/>
        </w:rPr>
        <w:t xml:space="preserve">React Router DOM v6: Declarative client-side routing with protected route guards and nested layouts.</w:t>
      </w:r>
    </w:p>
    <w:p w14:paraId="0010005A" w14:textId="0010005B">
      <w:pPr>
        <w:pStyle w:val="Heading2"/>
        <w:spacing w:before="240" w:after="120"/>
      </w:pPr>
      <w:r>
        <w:rPr>
          <w:b/>
          <w:color w:val="1F2D5A"/>
          <w:sz w:val="28"/>
        </w:rPr>
        <w:t xml:space="preserve">5.2 Backend</w:t>
      </w:r>
    </w:p>
    <w:p w14:paraId="0010005C" w14:textId="0010005D">
      <w:pPr>
        <w:pStyle w:val="Normal"/>
        <w:numPr>
          <w:ilvl w:val="0"/>
          <w:numId w:val="4"/>
        </w:numPr>
        <w:spacing w:after="80"/>
      </w:pPr>
      <w:r>
        <w:rPr>
          <w:sz w:val="22"/>
        </w:rPr>
        <w:t xml:space="preserve">Python 3.11+ / Django 4.2 LTS: The application framework. Django's ORM manages all data models and migrations. The LTS release guarantees security patches until April 2026.</w:t>
      </w:r>
    </w:p>
    <w:p w14:paraId="0010005E" w14:textId="0010005F">
      <w:pPr>
        <w:pStyle w:val="Normal"/>
        <w:numPr>
          <w:ilvl w:val="0"/>
          <w:numId w:val="4"/>
        </w:numPr>
        <w:spacing w:after="80"/>
      </w:pPr>
      <w:r>
        <w:rPr>
          <w:sz w:val="22"/>
        </w:rPr>
        <w:t xml:space="preserve">Django REST Framework 3.14: Serialisers, viewsets, routers, and pagination for the RESTful API surface.</w:t>
      </w:r>
    </w:p>
    <w:p w14:paraId="00100060" w14:textId="00100061">
      <w:pPr>
        <w:pStyle w:val="Normal"/>
        <w:numPr>
          <w:ilvl w:val="0"/>
          <w:numId w:val="4"/>
        </w:numPr>
        <w:spacing w:after="80"/>
      </w:pPr>
      <w:r>
        <w:rPr>
          <w:sz w:val="22"/>
        </w:rPr>
        <w:t xml:space="preserve">Django Channels 4 + channels-redis: ASGI-based WebSocket consumers backed by a Redis channel layer for fan-out broadcasting to connected dashboard clients.</w:t>
      </w:r>
    </w:p>
    <w:p w14:paraId="00100062" w14:textId="00100063">
      <w:pPr>
        <w:pStyle w:val="Normal"/>
        <w:numPr>
          <w:ilvl w:val="0"/>
          <w:numId w:val="4"/>
        </w:numPr>
        <w:spacing w:after="80"/>
      </w:pPr>
      <w:r>
        <w:rPr>
          <w:sz w:val="22"/>
        </w:rPr>
        <w:t xml:space="preserve">djangorestframework-simplejwt 5.3: Stateless JWT authentication with access/refresh token rotation, token blacklisting, and configurable lifetimes.</w:t>
      </w:r>
    </w:p>
    <w:p w14:paraId="00100064" w14:textId="00100065">
      <w:pPr>
        <w:pStyle w:val="Normal"/>
        <w:numPr>
          <w:ilvl w:val="0"/>
          <w:numId w:val="4"/>
        </w:numPr>
        <w:spacing w:after="80"/>
      </w:pPr>
      <w:r>
        <w:rPr>
          <w:sz w:val="22"/>
        </w:rPr>
        <w:t xml:space="preserve">Celery 5.3 + Celery Beat + django-celery-beat: Distributed task queue for asynchronous scan execution, scheduled jobs, and result storage via django-celery-results.</w:t>
      </w:r>
    </w:p>
    <w:p w14:paraId="00100066" w14:textId="00100067">
      <w:pPr>
        <w:pStyle w:val="Normal"/>
        <w:numPr>
          <w:ilvl w:val="0"/>
          <w:numId w:val="4"/>
        </w:numPr>
        <w:spacing w:after="80"/>
      </w:pPr>
      <w:r>
        <w:rPr>
          <w:sz w:val="22"/>
        </w:rPr>
        <w:t xml:space="preserve">drf-spectacular 0.27: Auto-generates an OpenAPI 3.0 schema from DRF viewsets, serving Swagger UI and ReDoc without manual schema maintenance.</w:t>
      </w:r>
    </w:p>
    <w:p w14:paraId="00100068" w14:textId="00100069">
      <w:pPr>
        <w:pStyle w:val="Normal"/>
        <w:numPr>
          <w:ilvl w:val="0"/>
          <w:numId w:val="4"/>
        </w:numPr>
        <w:spacing w:after="80"/>
      </w:pPr>
      <w:r>
        <w:rPr>
          <w:sz w:val="22"/>
        </w:rPr>
        <w:t xml:space="preserve">argon2-cffi: Argon2id password hashing, replacing Django's default PBKDF2 with a memory-hard function resistant to GPU brute-force attacks.</w:t>
      </w:r>
    </w:p>
    <w:p w14:paraId="0010006A" w14:textId="0010006B">
      <w:pPr>
        <w:pStyle w:val="Normal"/>
        <w:numPr>
          <w:ilvl w:val="0"/>
          <w:numId w:val="4"/>
        </w:numPr>
        <w:spacing w:after="80"/>
      </w:pPr>
      <w:r>
        <w:rPr>
          <w:sz w:val="22"/>
        </w:rPr>
        <w:t xml:space="preserve">Uvicorn + Gunicorn: ASGI production server. Gunicorn manages worker processes; each worker runs Uvicorn for async HTTP and WebSocket handling.</w:t>
      </w:r>
    </w:p>
    <w:p w14:paraId="0010006C" w14:textId="0010006D">
      <w:pPr>
        <w:pStyle w:val="Normal"/>
        <w:numPr>
          <w:ilvl w:val="0"/>
          <w:numId w:val="4"/>
        </w:numPr>
        <w:spacing w:after="120"/>
      </w:pPr>
      <w:r>
        <w:rPr>
          <w:sz w:val="22"/>
        </w:rPr>
        <w:t xml:space="preserve">OpenAI Python SDK 1.10: Client for the AI Security Analyst module, sending structured vulnerability context to GPT and streaming the remediation response.</w:t>
      </w:r>
    </w:p>
    <w:p w14:paraId="0010006E" w14:textId="0010006F">
      <w:pPr>
        <w:pStyle w:val="Heading2"/>
        <w:spacing w:before="240" w:after="120"/>
      </w:pPr>
      <w:r>
        <w:rPr>
          <w:b/>
          <w:color w:val="1F2D5A"/>
          <w:sz w:val="28"/>
        </w:rPr>
        <w:t xml:space="preserve">5.3 Infrastructure &amp; DevOps</w:t>
      </w:r>
    </w:p>
    <w:p w14:paraId="00100070" w14:textId="00100071">
      <w:pPr>
        <w:pStyle w:val="Normal"/>
        <w:numPr>
          <w:ilvl w:val="0"/>
          <w:numId w:val="5"/>
        </w:numPr>
        <w:spacing w:after="80"/>
      </w:pPr>
      <w:r>
        <w:rPr>
          <w:sz w:val="22"/>
        </w:rPr>
        <w:t xml:space="preserve">PostgreSQL 15 (Alpine): Primary relational store. Alpine images minimise container attack surface.</w:t>
      </w:r>
    </w:p>
    <w:p w14:paraId="00100072" w14:textId="00100073">
      <w:pPr>
        <w:pStyle w:val="Normal"/>
        <w:numPr>
          <w:ilvl w:val="0"/>
          <w:numId w:val="5"/>
        </w:numPr>
        <w:spacing w:after="80"/>
      </w:pPr>
      <w:r>
        <w:rPr>
          <w:sz w:val="22"/>
        </w:rPr>
        <w:t xml:space="preserve">Redis 7 (Alpine): Dual-purpose — Celery message broker and Django Channels channel layer.</w:t>
      </w:r>
    </w:p>
    <w:p w14:paraId="00100074" w14:textId="00100075">
      <w:pPr>
        <w:pStyle w:val="Normal"/>
        <w:numPr>
          <w:ilvl w:val="0"/>
          <w:numId w:val="5"/>
        </w:numPr>
        <w:spacing w:after="80"/>
      </w:pPr>
      <w:r>
        <w:rPr>
          <w:sz w:val="22"/>
        </w:rPr>
        <w:t xml:space="preserve">OWASP ZAP (stable): Containerised DAST daemon. The backend communicates with ZAP over its REST API using the python-zapv2 client.</w:t>
      </w:r>
    </w:p>
    <w:p w14:paraId="00100076" w14:textId="00100077">
      <w:pPr>
        <w:pStyle w:val="Normal"/>
        <w:numPr>
          <w:ilvl w:val="0"/>
          <w:numId w:val="5"/>
        </w:numPr>
        <w:spacing w:after="80"/>
      </w:pPr>
      <w:r>
        <w:rPr>
          <w:sz w:val="22"/>
        </w:rPr>
        <w:t xml:space="preserve">Docker + Docker Compose v3.9: All services are containerised and orchestrated with Docker Compose for local development and staging environments.</w:t>
      </w:r>
    </w:p>
    <w:p w14:paraId="00100078" w14:textId="00100079">
      <w:pPr>
        <w:pStyle w:val="Normal"/>
        <w:numPr>
          <w:ilvl w:val="0"/>
          <w:numId w:val="5"/>
        </w:numPr>
        <w:spacing w:after="80"/>
      </w:pPr>
      <w:r>
        <w:rPr>
          <w:sz w:val="22"/>
        </w:rPr>
        <w:t xml:space="preserve">Nginx (Alpine): Reverse proxy handling TLS termination, static file serving, WebSocket upgrades, and rate limiting.</w:t>
      </w:r>
    </w:p>
    <w:p w14:paraId="0010007A" w14:textId="0010007B">
      <w:pPr>
        <w:pStyle w:val="Normal"/>
        <w:numPr>
          <w:ilvl w:val="0"/>
          <w:numId w:val="5"/>
        </w:numPr>
        <w:spacing w:after="160"/>
      </w:pPr>
      <w:r>
        <w:rPr>
          <w:sz w:val="22"/>
        </w:rPr>
        <w:t xml:space="preserve">GitHub Actions: CI/CD security pipeline running Bandit (SAST), Trivy (dependency/image CVE scan), Semgrep (code analysis), and Checkov (IaC scan) on every push and pull request.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ac93210fe7d4939" /><Relationship Type="http://schemas.openxmlformats.org/officeDocument/2006/relationships/styles" Target="/word/styles.xml" Id="Re2584b3b86ac464c" /><Relationship Type="http://schemas.openxmlformats.org/officeDocument/2006/relationships/theme" Target="/word/theme/theme1.xml" Id="Rb336145c0d9746d9" /><Relationship Type="http://schemas.openxmlformats.org/officeDocument/2006/relationships/numbering" Target="/word/numbering.xml" Id="Rc6a14a80310f442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2026-10-23T08:58:15Z</dcterms:created>
  <cp:lastModifiedBy>OfficeCLI</cp:lastModifiedBy>
  <dcterms:modified xsi:type="dcterms:W3CDTF">2026-10-23T08:58:15Z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2026-10-23T08:59:22Z</vt:lpwstr>
  </op:property>
</op:Properties>
</file>