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DB0011"/>
          <w:sz w:val="64"/>
          <w:szCs w:val="64"/>
        </w:rPr>
        <w:t xml:space="preserve">HSBC</w:t>
      </w:r>
    </w:p>
    <w:p>
      <w:pPr>
        <w:pBdr>
          <w:bottom w:val="single" w:color="DB0011" w:sz="12" w:space="8"/>
        </w:pBdr>
        <w:spacing w:after="160" w:before="0"/>
      </w:pPr>
      <w:r>
        <w:rPr>
          <w:rFonts w:ascii="Arial" w:cs="Arial" w:eastAsia="Arial" w:hAnsi="Arial"/>
          <w:color w:val="003366"/>
          <w:sz w:val="28"/>
          <w:szCs w:val="28"/>
        </w:rPr>
        <w:t xml:space="preserve">Global Payments &amp; Cash Management</w:t>
      </w:r>
    </w:p>
    <w:p>
      <w:pPr>
        <w:spacing w:after="200" w:before="200"/>
      </w:pPr>
      <w:r>
        <w:t xml:space="preserve"/>
      </w:r>
    </w:p>
    <w:p>
      <w:pPr>
        <w:spacing w:after="120" w:before="0"/>
      </w:pPr>
      <w:r>
        <w:rPr>
          <w:rFonts w:ascii="Arial" w:cs="Arial" w:eastAsia="Arial" w:hAnsi="Arial"/>
          <w:b/>
          <w:bCs/>
          <w:color w:val="003366"/>
          <w:sz w:val="40"/>
          <w:szCs w:val="40"/>
        </w:rPr>
        <w:t xml:space="preserve">Product Requirements Document</w:t>
      </w:r>
    </w:p>
    <w:p>
      <w:pPr>
        <w:spacing w:after="400" w:before="0"/>
      </w:pPr>
      <w:r>
        <w:rPr>
          <w:rFonts w:ascii="Arial" w:cs="Arial" w:eastAsia="Arial" w:hAnsi="Arial"/>
          <w:color w:val="185FA5"/>
          <w:sz w:val="32"/>
          <w:szCs w:val="32"/>
        </w:rPr>
        <w:t xml:space="preserve">Loqate Address Parsing Integration</w:t>
      </w:r>
    </w:p>
    <w:p>
      <w:pPr>
        <w:spacing w:after="80" w:before="0"/>
      </w:pPr>
      <w:r>
        <w:rPr>
          <w:rFonts w:ascii="Arial" w:cs="Arial" w:eastAsia="Arial" w:hAnsi="Arial"/>
          <w:color w:val="444444"/>
          <w:sz w:val="24"/>
          <w:szCs w:val="24"/>
        </w:rPr>
        <w:t xml:space="preserve">HSBC File Validator — develop.hsbc.com</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Field</w:t>
            </w:r>
          </w:p>
        </w:tc>
        <w:tc>
          <w:tcPr>
            <w:tcW w:type="dxa" w:w="6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 reference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PRD-FV-LOQATE-2026-001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 Initial draft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IT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Management — Global Payments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 April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CONFIDENTIAL — Internal use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Target release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Q3 2026 (TBC with IT)</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 Executive Summary</w:t>
      </w:r>
    </w:p>
    <w:p>
      <w:pPr>
        <w:spacing w:after="80" w:before="80"/>
      </w:pPr>
      <w:r>
        <w:rPr>
          <w:rFonts w:ascii="Arial" w:cs="Arial" w:eastAsia="Arial" w:hAnsi="Arial"/>
          <w:color w:val="1A1A1A"/>
          <w:sz w:val="22"/>
          <w:szCs w:val="22"/>
        </w:rPr>
        <w:t xml:space="preserve">HSBC’s File Validator tool (hosted on develop.hsbc.com) validates corporate payment files against ISO 20022 structural requirements prior to submission. A key compliance requirement is that creditor postal addresses use structured fields (StrtNm, BldgNb, PstCd, TwnNm, Ctry) rather than the legacy AdrLine free-text field.</w:t>
      </w:r>
    </w:p>
    <w:p>
      <w:pPr>
        <w:spacing w:after="80" w:before="80"/>
      </w:pPr>
      <w:r>
        <w:t xml:space="preserve"/>
      </w:r>
    </w:p>
    <w:p>
      <w:pPr>
        <w:spacing w:after="80" w:before="80"/>
      </w:pPr>
      <w:r>
        <w:rPr>
          <w:rFonts w:ascii="Arial" w:cs="Arial" w:eastAsia="Arial" w:hAnsi="Arial"/>
          <w:color w:val="1A1A1A"/>
          <w:sz w:val="22"/>
          <w:szCs w:val="22"/>
        </w:rPr>
        <w:t xml:space="preserve">Many corporate customers still submit payment files containing AdrLine. This causes payment rejection and creates friction in the remediation process, as customers must manually decompose the address into structured fields before resubmitting.</w:t>
      </w:r>
    </w:p>
    <w:p>
      <w:pPr>
        <w:spacing w:after="80" w:before="80"/>
      </w:pPr>
      <w:r>
        <w:t xml:space="preserve"/>
      </w:r>
    </w:p>
    <w:p>
      <w:pPr>
        <w:spacing w:after="80" w:before="80"/>
      </w:pPr>
      <w:r>
        <w:rPr>
          <w:rFonts w:ascii="Arial" w:cs="Arial" w:eastAsia="Arial" w:hAnsi="Arial"/>
          <w:color w:val="1A1A1A"/>
          <w:sz w:val="22"/>
          <w:szCs w:val="22"/>
        </w:rPr>
        <w:t xml:space="preserve">This PRD defines the requirements for integrating Loqate address parsing into the File Validator report, so that when a file contains AdrLine in the creditor postal address, the tool automatically parses it and returns the structured ISO 20022 fields to the customer within the validation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b/>
                <w:bCs/>
                <w:color w:val="003366"/>
                <w:sz w:val="20"/>
                <w:szCs w:val="20"/>
              </w:rPr>
              <w:t xml:space="preserve">Objective</w:t>
            </w:r>
          </w:p>
          <w:p>
            <w:pPr>
              <w:spacing w:before="60"/>
            </w:pPr>
            <w:r>
              <w:rPr>
                <w:rFonts w:ascii="Arial" w:cs="Arial" w:eastAsia="Arial" w:hAnsi="Arial"/>
                <w:color w:val="1A1A1A"/>
                <w:sz w:val="20"/>
                <w:szCs w:val="20"/>
              </w:rPr>
              <w:t xml:space="preserve">Reduce AdrLine-related payment rejections and improve corporate customer experience by surfacing Loqate-parsed structured address suggestions directly within the HTML validation report, enabling customers to copy ready-to-use XML before resubmitting.</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2. Background &amp; Strategic Context</w:t>
      </w:r>
    </w:p>
    <w:p>
      <w:pPr>
        <w:pStyle w:val="Heading2"/>
        <w:spacing w:after="120" w:before="280"/>
      </w:pPr>
      <w:r>
        <w:rPr>
          <w:rFonts w:ascii="Arial" w:cs="Arial" w:eastAsia="Arial" w:hAnsi="Arial"/>
          <w:b/>
          <w:bCs/>
          <w:color w:val="185FA5"/>
          <w:sz w:val="26"/>
          <w:szCs w:val="26"/>
        </w:rPr>
        <w:t xml:space="preserve">2.1 ISO 20022 Address Requirement</w:t>
      </w:r>
    </w:p>
    <w:p>
      <w:pPr>
        <w:spacing w:after="80" w:before="80"/>
      </w:pPr>
      <w:r>
        <w:rPr>
          <w:rFonts w:ascii="Arial" w:cs="Arial" w:eastAsia="Arial" w:hAnsi="Arial"/>
          <w:color w:val="1A1A1A"/>
          <w:sz w:val="22"/>
          <w:szCs w:val="22"/>
        </w:rPr>
        <w:t xml:space="preserve">ISO 20022 mandates that postal addresses in payment messages use structured components. As of the CHAPS November 2025 migration and the SWIFT coexistence period through 2027, financial institutions are required to progressively enforce structured address data. HSBC’s File Validator already flags AdrLine usage as a future ISO validation error (error code 071203).</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2.2 Current Pain Points</w:t>
      </w:r>
    </w:p>
    <w:p>
      <w:pPr>
        <w:pStyle w:val="ListParagraph"/>
        <w:numPr>
          <w:ilvl w:val="0"/>
          <w:numId w:val="2"/>
        </w:numPr>
        <w:spacing w:after="60" w:before="60"/>
      </w:pPr>
      <w:r>
        <w:rPr>
          <w:rFonts w:ascii="Arial" w:cs="Arial" w:eastAsia="Arial" w:hAnsi="Arial"/>
          <w:color w:val="1A1A1A"/>
          <w:sz w:val="22"/>
          <w:szCs w:val="22"/>
        </w:rPr>
        <w:t xml:space="preserve">Customers receive a rejection report citing missing TwnNm and Ctry but are given no guidance on how to split their existing AdrLine.</w:t>
      </w:r>
    </w:p>
    <w:p>
      <w:pPr>
        <w:pStyle w:val="ListParagraph"/>
        <w:numPr>
          <w:ilvl w:val="0"/>
          <w:numId w:val="2"/>
        </w:numPr>
        <w:spacing w:after="60" w:before="60"/>
      </w:pPr>
      <w:r>
        <w:rPr>
          <w:rFonts w:ascii="Arial" w:cs="Arial" w:eastAsia="Arial" w:hAnsi="Arial"/>
          <w:color w:val="1A1A1A"/>
          <w:sz w:val="22"/>
          <w:szCs w:val="22"/>
        </w:rPr>
        <w:t xml:space="preserve">Corporate treasury teams manually parse free-text addresses, leading to errors on resubmission and repeated rejection cycles.</w:t>
      </w:r>
    </w:p>
    <w:p>
      <w:pPr>
        <w:pStyle w:val="ListParagraph"/>
        <w:numPr>
          <w:ilvl w:val="0"/>
          <w:numId w:val="2"/>
        </w:numPr>
        <w:spacing w:after="60" w:before="60"/>
      </w:pPr>
      <w:r>
        <w:rPr>
          <w:rFonts w:ascii="Arial" w:cs="Arial" w:eastAsia="Arial" w:hAnsi="Arial"/>
          <w:color w:val="1A1A1A"/>
          <w:sz w:val="22"/>
          <w:szCs w:val="22"/>
        </w:rPr>
        <w:t xml:space="preserve">HSBC relationship managers receive support escalations from customers who cannot understand the remediation required.</w:t>
      </w:r>
    </w:p>
    <w:p>
      <w:pPr>
        <w:pStyle w:val="ListParagraph"/>
        <w:numPr>
          <w:ilvl w:val="0"/>
          <w:numId w:val="2"/>
        </w:numPr>
        <w:spacing w:after="60" w:before="60"/>
      </w:pPr>
      <w:r>
        <w:rPr>
          <w:rFonts w:ascii="Arial" w:cs="Arial" w:eastAsia="Arial" w:hAnsi="Arial"/>
          <w:color w:val="1A1A1A"/>
          <w:sz w:val="22"/>
          <w:szCs w:val="22"/>
        </w:rPr>
        <w:t xml:space="preserve">High-volume files with dozens of AdrLine instructions create significant rework overhead.</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2.3 Loqate</w:t>
      </w:r>
    </w:p>
    <w:p>
      <w:pPr>
        <w:spacing w:after="80" w:before="80"/>
      </w:pPr>
      <w:r>
        <w:rPr>
          <w:rFonts w:ascii="Arial" w:cs="Arial" w:eastAsia="Arial" w:hAnsi="Arial"/>
          <w:color w:val="1A1A1A"/>
          <w:sz w:val="22"/>
          <w:szCs w:val="22"/>
        </w:rPr>
        <w:t xml:space="preserve">Loqate (a GBG product) provides a REST-based address verification and parsing API. Given a free-text address string, Loqate returns structured address components mapped to international postal standards. HSBC already holds a commercial agreement with GBG/Loqate for other use cases. This PRD proposes extending that usage to the File Validator.</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3. Scope</w:t>
      </w:r>
    </w:p>
    <w:p>
      <w:pPr>
        <w:pStyle w:val="Heading2"/>
        <w:spacing w:after="120" w:before="280"/>
      </w:pPr>
      <w:r>
        <w:rPr>
          <w:rFonts w:ascii="Arial" w:cs="Arial" w:eastAsia="Arial" w:hAnsi="Arial"/>
          <w:b/>
          <w:bCs/>
          <w:color w:val="185FA5"/>
          <w:sz w:val="26"/>
          <w:szCs w:val="26"/>
        </w:rPr>
        <w:t xml:space="preserve">3.1 In Scope</w:t>
      </w:r>
    </w:p>
    <w:p>
      <w:pPr>
        <w:pStyle w:val="ListParagraph"/>
        <w:numPr>
          <w:ilvl w:val="0"/>
          <w:numId w:val="2"/>
        </w:numPr>
        <w:spacing w:after="60" w:before="60"/>
      </w:pPr>
      <w:r>
        <w:rPr>
          <w:rFonts w:ascii="Arial" w:cs="Arial" w:eastAsia="Arial" w:hAnsi="Arial"/>
          <w:color w:val="1A1A1A"/>
          <w:sz w:val="22"/>
          <w:szCs w:val="22"/>
        </w:rPr>
        <w:t xml:space="preserve">Detection of AdrLine usage within Cdtr/PstlAdr blocks in PAIN.001 payment files</w:t>
      </w:r>
    </w:p>
    <w:p>
      <w:pPr>
        <w:pStyle w:val="ListParagraph"/>
        <w:numPr>
          <w:ilvl w:val="0"/>
          <w:numId w:val="2"/>
        </w:numPr>
        <w:spacing w:after="60" w:before="60"/>
      </w:pPr>
      <w:r>
        <w:rPr>
          <w:rFonts w:ascii="Arial" w:cs="Arial" w:eastAsia="Arial" w:hAnsi="Arial"/>
          <w:color w:val="1A1A1A"/>
          <w:sz w:val="22"/>
          <w:szCs w:val="22"/>
        </w:rPr>
        <w:t xml:space="preserve">Server-side call to Loqate API for each detected AdrLine at report generation time</w:t>
      </w:r>
    </w:p>
    <w:p>
      <w:pPr>
        <w:pStyle w:val="ListParagraph"/>
        <w:numPr>
          <w:ilvl w:val="0"/>
          <w:numId w:val="2"/>
        </w:numPr>
        <w:spacing w:after="60" w:before="60"/>
      </w:pPr>
      <w:r>
        <w:rPr>
          <w:rFonts w:ascii="Arial" w:cs="Arial" w:eastAsia="Arial" w:hAnsi="Arial"/>
          <w:color w:val="1A1A1A"/>
          <w:sz w:val="22"/>
          <w:szCs w:val="22"/>
        </w:rPr>
        <w:t xml:space="preserve">Mapping of Loqate response fields to ISO 20022 PstlAdr structured elements</w:t>
      </w:r>
    </w:p>
    <w:p>
      <w:pPr>
        <w:pStyle w:val="ListParagraph"/>
        <w:numPr>
          <w:ilvl w:val="0"/>
          <w:numId w:val="2"/>
        </w:numPr>
        <w:spacing w:after="60" w:before="60"/>
      </w:pPr>
      <w:r>
        <w:rPr>
          <w:rFonts w:ascii="Arial" w:cs="Arial" w:eastAsia="Arial" w:hAnsi="Arial"/>
          <w:color w:val="1A1A1A"/>
          <w:sz w:val="22"/>
          <w:szCs w:val="22"/>
        </w:rPr>
        <w:t xml:space="preserve">Display of Loqate parsed results in the HTML validation report alongside original AdrLine values</w:t>
      </w:r>
    </w:p>
    <w:p>
      <w:pPr>
        <w:pStyle w:val="ListParagraph"/>
        <w:numPr>
          <w:ilvl w:val="0"/>
          <w:numId w:val="2"/>
        </w:numPr>
        <w:spacing w:after="60" w:before="60"/>
      </w:pPr>
      <w:r>
        <w:rPr>
          <w:rFonts w:ascii="Arial" w:cs="Arial" w:eastAsia="Arial" w:hAnsi="Arial"/>
          <w:color w:val="1A1A1A"/>
          <w:sz w:val="22"/>
          <w:szCs w:val="22"/>
        </w:rPr>
        <w:t xml:space="preserve">Confidence score display and differentiated UX for high vs medium confidence results</w:t>
      </w:r>
    </w:p>
    <w:p>
      <w:pPr>
        <w:pStyle w:val="ListParagraph"/>
        <w:numPr>
          <w:ilvl w:val="0"/>
          <w:numId w:val="2"/>
        </w:numPr>
        <w:spacing w:after="60" w:before="60"/>
      </w:pPr>
      <w:r>
        <w:rPr>
          <w:rFonts w:ascii="Arial" w:cs="Arial" w:eastAsia="Arial" w:hAnsi="Arial"/>
          <w:color w:val="1A1A1A"/>
          <w:sz w:val="22"/>
          <w:szCs w:val="22"/>
        </w:rPr>
        <w:t xml:space="preserve">One-click copyable corrected XML snippet per instruction</w:t>
      </w:r>
    </w:p>
    <w:p>
      <w:pPr>
        <w:pStyle w:val="ListParagraph"/>
        <w:numPr>
          <w:ilvl w:val="0"/>
          <w:numId w:val="2"/>
        </w:numPr>
        <w:spacing w:after="60" w:before="60"/>
      </w:pPr>
      <w:r>
        <w:rPr>
          <w:rFonts w:ascii="Arial" w:cs="Arial" w:eastAsia="Arial" w:hAnsi="Arial"/>
          <w:color w:val="1A1A1A"/>
          <w:sz w:val="22"/>
          <w:szCs w:val="22"/>
        </w:rPr>
        <w:t xml:space="preserve">Filter and summary UI for multi-instruction files</w:t>
      </w:r>
    </w:p>
    <w:p>
      <w:pPr>
        <w:pStyle w:val="ListParagraph"/>
        <w:numPr>
          <w:ilvl w:val="0"/>
          <w:numId w:val="2"/>
        </w:numPr>
        <w:spacing w:after="60" w:before="60"/>
      </w:pPr>
      <w:r>
        <w:rPr>
          <w:rFonts w:ascii="Arial" w:cs="Arial" w:eastAsia="Arial" w:hAnsi="Arial"/>
          <w:color w:val="1A1A1A"/>
          <w:sz w:val="22"/>
          <w:szCs w:val="22"/>
        </w:rPr>
        <w:t xml:space="preserve">Disclaimer and Loqate reference ID in the report</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3.2 Out of Scope</w:t>
      </w:r>
    </w:p>
    <w:p>
      <w:pPr>
        <w:pStyle w:val="ListParagraph"/>
        <w:numPr>
          <w:ilvl w:val="0"/>
          <w:numId w:val="2"/>
        </w:numPr>
        <w:spacing w:after="60" w:before="60"/>
      </w:pPr>
      <w:r>
        <w:rPr>
          <w:rFonts w:ascii="Arial" w:cs="Arial" w:eastAsia="Arial" w:hAnsi="Arial"/>
          <w:color w:val="1A1A1A"/>
          <w:sz w:val="22"/>
          <w:szCs w:val="22"/>
        </w:rPr>
        <w:t xml:space="preserve">Automatic correction and resubmission of the payment file on behalf of the customer</w:t>
      </w:r>
    </w:p>
    <w:p>
      <w:pPr>
        <w:pStyle w:val="ListParagraph"/>
        <w:numPr>
          <w:ilvl w:val="0"/>
          <w:numId w:val="2"/>
        </w:numPr>
        <w:spacing w:after="60" w:before="60"/>
      </w:pPr>
      <w:r>
        <w:rPr>
          <w:rFonts w:ascii="Arial" w:cs="Arial" w:eastAsia="Arial" w:hAnsi="Arial"/>
          <w:color w:val="1A1A1A"/>
          <w:sz w:val="22"/>
          <w:szCs w:val="22"/>
        </w:rPr>
        <w:t xml:space="preserve">Loqate parsing for Dbtr (debtor) addresses in this phase</w:t>
      </w:r>
    </w:p>
    <w:p>
      <w:pPr>
        <w:pStyle w:val="ListParagraph"/>
        <w:numPr>
          <w:ilvl w:val="0"/>
          <w:numId w:val="2"/>
        </w:numPr>
        <w:spacing w:after="60" w:before="60"/>
      </w:pPr>
      <w:r>
        <w:rPr>
          <w:rFonts w:ascii="Arial" w:cs="Arial" w:eastAsia="Arial" w:hAnsi="Arial"/>
          <w:color w:val="1A1A1A"/>
          <w:sz w:val="22"/>
          <w:szCs w:val="22"/>
        </w:rPr>
        <w:t xml:space="preserve">Support for PAIN.002, PAIN.008, CAMT message types in this phase</w:t>
      </w:r>
    </w:p>
    <w:p>
      <w:pPr>
        <w:pStyle w:val="ListParagraph"/>
        <w:numPr>
          <w:ilvl w:val="0"/>
          <w:numId w:val="2"/>
        </w:numPr>
        <w:spacing w:after="60" w:before="60"/>
      </w:pPr>
      <w:r>
        <w:rPr>
          <w:rFonts w:ascii="Arial" w:cs="Arial" w:eastAsia="Arial" w:hAnsi="Arial"/>
          <w:color w:val="1A1A1A"/>
          <w:sz w:val="22"/>
          <w:szCs w:val="22"/>
        </w:rPr>
        <w:t xml:space="preserve">Real-time / in-flight address validation during file upload</w:t>
      </w:r>
    </w:p>
    <w:p>
      <w:pPr>
        <w:pStyle w:val="ListParagraph"/>
        <w:numPr>
          <w:ilvl w:val="0"/>
          <w:numId w:val="2"/>
        </w:numPr>
        <w:spacing w:after="60" w:before="60"/>
      </w:pPr>
      <w:r>
        <w:rPr>
          <w:rFonts w:ascii="Arial" w:cs="Arial" w:eastAsia="Arial" w:hAnsi="Arial"/>
          <w:color w:val="1A1A1A"/>
          <w:sz w:val="22"/>
          <w:szCs w:val="22"/>
        </w:rPr>
        <w:t xml:space="preserve">Storage of Loqate results beyond the report session</w:t>
      </w:r>
    </w:p>
    <w:p>
      <w:pPr>
        <w:pStyle w:val="ListParagraph"/>
        <w:numPr>
          <w:ilvl w:val="0"/>
          <w:numId w:val="2"/>
        </w:numPr>
        <w:spacing w:after="60" w:before="60"/>
      </w:pPr>
      <w:r>
        <w:rPr>
          <w:rFonts w:ascii="Arial" w:cs="Arial" w:eastAsia="Arial" w:hAnsi="Arial"/>
          <w:color w:val="1A1A1A"/>
          <w:sz w:val="22"/>
          <w:szCs w:val="22"/>
        </w:rPr>
        <w:t xml:space="preserve">Integration with HSBC’s core banking address repository</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4. User Stories &amp; Acceptance Criteria</w:t>
      </w:r>
    </w:p>
    <w:p>
      <w:pPr>
        <w:pStyle w:val="Heading2"/>
        <w:spacing w:after="120" w:before="280"/>
      </w:pPr>
      <w:r>
        <w:rPr>
          <w:rFonts w:ascii="Arial" w:cs="Arial" w:eastAsia="Arial" w:hAnsi="Arial"/>
          <w:b/>
          <w:bCs/>
          <w:color w:val="185FA5"/>
          <w:sz w:val="26"/>
          <w:szCs w:val="26"/>
        </w:rPr>
        <w:t xml:space="preserve">4.1 Primary User Stories</w:t>
      </w:r>
    </w:p>
    <w:p>
      <w:pPr>
        <w:spacing w:after="60" w:before="6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2400"/>
      </w:tblGrid>
      <w:tr>
        <w:trPr>
          <w:tblHeader/>
        </w:trPr>
        <w:tc>
          <w:tcPr>
            <w:tcW w:type="dxa" w:w="9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ID</w:t>
            </w:r>
          </w:p>
        </w:tc>
        <w:tc>
          <w:tcPr>
            <w:tcW w:type="dxa" w:w="16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As a…</w:t>
            </w:r>
          </w:p>
        </w:tc>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I want to…</w:t>
            </w:r>
          </w:p>
        </w:tc>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So that…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treasury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See a parsed structured address alongside my AdrLine in the validation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 can quickly copy the corrected XML and resubmit without manual address parsing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treasury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Know the confidence level of each parsed address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 can decide whether to apply the suggestion directly or verify with my counterparty first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treasury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Copy a ready-to-use XML snippet for each instruction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 minimise transcription errors when fixing my payment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treasury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Filter the report to show only AdrLine-affected instructions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 can focus on the remediation tasks in a large multi-instruction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HSBC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See a Loqate reference ID in each parsed 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 can audit and trace each API call for compliance purposes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InfoSec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Ensure Loqate API calls happen server-side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API credentials or raw customer address data are exposed to the client browser</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4.2 Acceptance Criteria</w:t>
      </w:r>
    </w:p>
    <w:p>
      <w:pPr>
        <w:spacing w:after="60" w:before="60"/>
      </w:pPr>
      <w:r>
        <w:t xml:space="preserve"/>
      </w:r>
    </w:p>
    <w:p>
      <w:pPr>
        <w:pStyle w:val="Heading3"/>
        <w:spacing w:after="100" w:before="200"/>
      </w:pPr>
      <w:r>
        <w:rPr>
          <w:rFonts w:ascii="Arial" w:cs="Arial" w:eastAsia="Arial" w:hAnsi="Arial"/>
          <w:b/>
          <w:bCs/>
          <w:color w:val="003366"/>
          <w:sz w:val="22"/>
          <w:szCs w:val="22"/>
        </w:rPr>
        <w:t xml:space="preserve">US-01: Address comparison display</w:t>
      </w:r>
    </w:p>
    <w:p>
      <w:pPr>
        <w:pStyle w:val="ListParagraph"/>
        <w:numPr>
          <w:ilvl w:val="0"/>
          <w:numId w:val="2"/>
        </w:numPr>
        <w:spacing w:after="60" w:before="60"/>
      </w:pPr>
      <w:r>
        <w:rPr>
          <w:rFonts w:ascii="Arial" w:cs="Arial" w:eastAsia="Arial" w:hAnsi="Arial"/>
          <w:color w:val="1A1A1A"/>
          <w:sz w:val="22"/>
          <w:szCs w:val="22"/>
        </w:rPr>
        <w:t xml:space="preserve">Given a PAIN.001 file with AdrLine in Cdtr/PstlAdr, the report MUST show a side-by-side comparison of original AdrLine values vs Loqate-parsed structured fields</w:t>
      </w:r>
    </w:p>
    <w:p>
      <w:pPr>
        <w:pStyle w:val="ListParagraph"/>
        <w:numPr>
          <w:ilvl w:val="0"/>
          <w:numId w:val="2"/>
        </w:numPr>
        <w:spacing w:after="60" w:before="60"/>
      </w:pPr>
      <w:r>
        <w:rPr>
          <w:rFonts w:ascii="Arial" w:cs="Arial" w:eastAsia="Arial" w:hAnsi="Arial"/>
          <w:color w:val="1A1A1A"/>
          <w:sz w:val="22"/>
          <w:szCs w:val="22"/>
        </w:rPr>
        <w:t xml:space="preserve">Fields parsed by Loqate (TwnNm, Ctry, PstCd, StrtNm, BldgNb, FlrId, BldgNm) MUST be displayed in green</w:t>
      </w:r>
    </w:p>
    <w:p>
      <w:pPr>
        <w:pStyle w:val="ListParagraph"/>
        <w:numPr>
          <w:ilvl w:val="0"/>
          <w:numId w:val="2"/>
        </w:numPr>
        <w:spacing w:after="60" w:before="60"/>
      </w:pPr>
      <w:r>
        <w:rPr>
          <w:rFonts w:ascii="Arial" w:cs="Arial" w:eastAsia="Arial" w:hAnsi="Arial"/>
          <w:color w:val="1A1A1A"/>
          <w:sz w:val="22"/>
          <w:szCs w:val="22"/>
        </w:rPr>
        <w:t xml:space="preserve">Missing structured fields in the original MUST be displayed in red italics labelled ‘not provided’</w:t>
      </w:r>
    </w:p>
    <w:p>
      <w:pPr>
        <w:pStyle w:val="ListParagraph"/>
        <w:numPr>
          <w:ilvl w:val="0"/>
          <w:numId w:val="2"/>
        </w:numPr>
        <w:spacing w:after="60" w:before="60"/>
      </w:pPr>
      <w:r>
        <w:rPr>
          <w:rFonts w:ascii="Arial" w:cs="Arial" w:eastAsia="Arial" w:hAnsi="Arial"/>
          <w:color w:val="1A1A1A"/>
          <w:sz w:val="22"/>
          <w:szCs w:val="22"/>
        </w:rPr>
        <w:t xml:space="preserve">The AdrLine field in the Loqate column MUST be struck through with a ‘Remove’ label in red</w:t>
      </w:r>
    </w:p>
    <w:p>
      <w:pPr>
        <w:spacing w:after="60" w:before="60"/>
      </w:pPr>
      <w:r>
        <w:t xml:space="preserve"/>
      </w:r>
    </w:p>
    <w:p>
      <w:pPr>
        <w:pStyle w:val="Heading3"/>
        <w:spacing w:after="100" w:before="200"/>
      </w:pPr>
      <w:r>
        <w:rPr>
          <w:rFonts w:ascii="Arial" w:cs="Arial" w:eastAsia="Arial" w:hAnsi="Arial"/>
          <w:b/>
          <w:bCs/>
          <w:color w:val="003366"/>
          <w:sz w:val="22"/>
          <w:szCs w:val="22"/>
        </w:rPr>
        <w:t xml:space="preserve">US-02: Confidence score</w:t>
      </w:r>
    </w:p>
    <w:p>
      <w:pPr>
        <w:pStyle w:val="ListParagraph"/>
        <w:numPr>
          <w:ilvl w:val="0"/>
          <w:numId w:val="2"/>
        </w:numPr>
        <w:spacing w:after="60" w:before="60"/>
      </w:pPr>
      <w:r>
        <w:rPr>
          <w:rFonts w:ascii="Arial" w:cs="Arial" w:eastAsia="Arial" w:hAnsi="Arial"/>
          <w:color w:val="1A1A1A"/>
          <w:sz w:val="22"/>
          <w:szCs w:val="22"/>
        </w:rPr>
        <w:t xml:space="preserve">Each parsed result MUST display the Loqate confidence score as a percentage</w:t>
      </w:r>
    </w:p>
    <w:p>
      <w:pPr>
        <w:pStyle w:val="ListParagraph"/>
        <w:numPr>
          <w:ilvl w:val="0"/>
          <w:numId w:val="2"/>
        </w:numPr>
        <w:spacing w:after="60" w:before="60"/>
      </w:pPr>
      <w:r>
        <w:rPr>
          <w:rFonts w:ascii="Arial" w:cs="Arial" w:eastAsia="Arial" w:hAnsi="Arial"/>
          <w:color w:val="1A1A1A"/>
          <w:sz w:val="22"/>
          <w:szCs w:val="22"/>
        </w:rPr>
        <w:t xml:space="preserve">High confidence (≥85%) MUST display a green indicator</w:t>
      </w:r>
    </w:p>
    <w:p>
      <w:pPr>
        <w:pStyle w:val="ListParagraph"/>
        <w:numPr>
          <w:ilvl w:val="0"/>
          <w:numId w:val="2"/>
        </w:numPr>
        <w:spacing w:after="60" w:before="60"/>
      </w:pPr>
      <w:r>
        <w:rPr>
          <w:rFonts w:ascii="Arial" w:cs="Arial" w:eastAsia="Arial" w:hAnsi="Arial"/>
          <w:color w:val="1A1A1A"/>
          <w:sz w:val="22"/>
          <w:szCs w:val="22"/>
        </w:rPr>
        <w:t xml:space="preserve">Medium confidence (65–84%) MUST display an amber indicator with a warning box inside the comparison pane</w:t>
      </w:r>
    </w:p>
    <w:p>
      <w:pPr>
        <w:pStyle w:val="ListParagraph"/>
        <w:numPr>
          <w:ilvl w:val="0"/>
          <w:numId w:val="2"/>
        </w:numPr>
        <w:spacing w:after="60" w:before="60"/>
      </w:pPr>
      <w:r>
        <w:rPr>
          <w:rFonts w:ascii="Arial" w:cs="Arial" w:eastAsia="Arial" w:hAnsi="Arial"/>
          <w:color w:val="1A1A1A"/>
          <w:sz w:val="22"/>
          <w:szCs w:val="22"/>
        </w:rPr>
        <w:t xml:space="preserve">Low confidence (&lt;65%) MUST display a red indicator and a message recommending manual verification; the XML snippet tab MUST still be shown but include a more prominent disclaimer</w:t>
      </w:r>
    </w:p>
    <w:p>
      <w:pPr>
        <w:spacing w:after="60" w:before="60"/>
      </w:pPr>
      <w:r>
        <w:t xml:space="preserve"/>
      </w:r>
    </w:p>
    <w:p>
      <w:pPr>
        <w:pStyle w:val="Heading3"/>
        <w:spacing w:after="100" w:before="200"/>
      </w:pPr>
      <w:r>
        <w:rPr>
          <w:rFonts w:ascii="Arial" w:cs="Arial" w:eastAsia="Arial" w:hAnsi="Arial"/>
          <w:b/>
          <w:bCs/>
          <w:color w:val="003366"/>
          <w:sz w:val="22"/>
          <w:szCs w:val="22"/>
        </w:rPr>
        <w:t xml:space="preserve">US-03: XML snippet</w:t>
      </w:r>
    </w:p>
    <w:p>
      <w:pPr>
        <w:pStyle w:val="ListParagraph"/>
        <w:numPr>
          <w:ilvl w:val="0"/>
          <w:numId w:val="2"/>
        </w:numPr>
        <w:spacing w:after="60" w:before="60"/>
      </w:pPr>
      <w:r>
        <w:rPr>
          <w:rFonts w:ascii="Arial" w:cs="Arial" w:eastAsia="Arial" w:hAnsi="Arial"/>
          <w:color w:val="1A1A1A"/>
          <w:sz w:val="22"/>
          <w:szCs w:val="22"/>
        </w:rPr>
        <w:t xml:space="preserve">Each AdrLine instruction MUST have an ‘XML snippet’ tab containing a ready-to-use &lt;PstlAdr&gt; block</w:t>
      </w:r>
    </w:p>
    <w:p>
      <w:pPr>
        <w:pStyle w:val="ListParagraph"/>
        <w:numPr>
          <w:ilvl w:val="0"/>
          <w:numId w:val="2"/>
        </w:numPr>
        <w:spacing w:after="60" w:before="60"/>
      </w:pPr>
      <w:r>
        <w:rPr>
          <w:rFonts w:ascii="Arial" w:cs="Arial" w:eastAsia="Arial" w:hAnsi="Arial"/>
          <w:color w:val="1A1A1A"/>
          <w:sz w:val="22"/>
          <w:szCs w:val="22"/>
        </w:rPr>
        <w:t xml:space="preserve">The snippet MUST include only the fields returned by Loqate (no empty tags)</w:t>
      </w:r>
    </w:p>
    <w:p>
      <w:pPr>
        <w:pStyle w:val="ListParagraph"/>
        <w:numPr>
          <w:ilvl w:val="0"/>
          <w:numId w:val="2"/>
        </w:numPr>
        <w:spacing w:after="60" w:before="60"/>
      </w:pPr>
      <w:r>
        <w:rPr>
          <w:rFonts w:ascii="Arial" w:cs="Arial" w:eastAsia="Arial" w:hAnsi="Arial"/>
          <w:color w:val="1A1A1A"/>
          <w:sz w:val="22"/>
          <w:szCs w:val="22"/>
        </w:rPr>
        <w:t xml:space="preserve">A ‘Copy XML’ button MUST copy the raw (unescaped) XML to the clipboard</w:t>
      </w:r>
    </w:p>
    <w:p>
      <w:pPr>
        <w:pStyle w:val="ListParagraph"/>
        <w:numPr>
          <w:ilvl w:val="0"/>
          <w:numId w:val="2"/>
        </w:numPr>
        <w:spacing w:after="60" w:before="60"/>
      </w:pPr>
      <w:r>
        <w:rPr>
          <w:rFonts w:ascii="Arial" w:cs="Arial" w:eastAsia="Arial" w:hAnsi="Arial"/>
          <w:color w:val="1A1A1A"/>
          <w:sz w:val="22"/>
          <w:szCs w:val="22"/>
        </w:rPr>
        <w:t xml:space="preserve">Copy success MUST be confirmed with a transient tick / ‘Copied’ state on the button</w:t>
      </w:r>
    </w:p>
    <w:p>
      <w:pPr>
        <w:spacing w:after="60" w:before="60"/>
      </w:pPr>
      <w:r>
        <w:t xml:space="preserve"/>
      </w:r>
    </w:p>
    <w:p>
      <w:pPr>
        <w:pStyle w:val="Heading3"/>
        <w:spacing w:after="100" w:before="200"/>
      </w:pPr>
      <w:r>
        <w:rPr>
          <w:rFonts w:ascii="Arial" w:cs="Arial" w:eastAsia="Arial" w:hAnsi="Arial"/>
          <w:b/>
          <w:bCs/>
          <w:color w:val="003366"/>
          <w:sz w:val="22"/>
          <w:szCs w:val="22"/>
        </w:rPr>
        <w:t xml:space="preserve">US-04: Filter bar</w:t>
      </w:r>
    </w:p>
    <w:p>
      <w:pPr>
        <w:pStyle w:val="ListParagraph"/>
        <w:numPr>
          <w:ilvl w:val="0"/>
          <w:numId w:val="2"/>
        </w:numPr>
        <w:spacing w:after="60" w:before="60"/>
      </w:pPr>
      <w:r>
        <w:rPr>
          <w:rFonts w:ascii="Arial" w:cs="Arial" w:eastAsia="Arial" w:hAnsi="Arial"/>
          <w:color w:val="1A1A1A"/>
          <w:sz w:val="22"/>
          <w:szCs w:val="22"/>
        </w:rPr>
        <w:t xml:space="preserve">A filter bar MUST appear above the instruction cards when a file contains 2 or more instructions</w:t>
      </w:r>
    </w:p>
    <w:p>
      <w:pPr>
        <w:pStyle w:val="ListParagraph"/>
        <w:numPr>
          <w:ilvl w:val="0"/>
          <w:numId w:val="2"/>
        </w:numPr>
        <w:spacing w:after="60" w:before="60"/>
      </w:pPr>
      <w:r>
        <w:rPr>
          <w:rFonts w:ascii="Arial" w:cs="Arial" w:eastAsia="Arial" w:hAnsi="Arial"/>
          <w:color w:val="1A1A1A"/>
          <w:sz w:val="22"/>
          <w:szCs w:val="22"/>
        </w:rPr>
        <w:t xml:space="preserve">Filters: ‘All instructions’, ‘AdrLine detected’, ‘No issues’</w:t>
      </w:r>
    </w:p>
    <w:p>
      <w:pPr>
        <w:pStyle w:val="ListParagraph"/>
        <w:numPr>
          <w:ilvl w:val="0"/>
          <w:numId w:val="2"/>
        </w:numPr>
        <w:spacing w:after="60" w:before="60"/>
      </w:pPr>
      <w:r>
        <w:rPr>
          <w:rFonts w:ascii="Arial" w:cs="Arial" w:eastAsia="Arial" w:hAnsi="Arial"/>
          <w:color w:val="1A1A1A"/>
          <w:sz w:val="22"/>
          <w:szCs w:val="22"/>
        </w:rPr>
        <w:t xml:space="preserve">Confidence summary chips (e.g. ‘High confidence: 2’, ‘Medium: 1’) MUST appear on the right of the filter bar</w:t>
      </w:r>
    </w:p>
    <w:p>
      <w:pPr>
        <w:pStyle w:val="ListParagraph"/>
        <w:numPr>
          <w:ilvl w:val="0"/>
          <w:numId w:val="2"/>
        </w:numPr>
        <w:spacing w:after="60" w:before="60"/>
      </w:pPr>
      <w:r>
        <w:rPr>
          <w:rFonts w:ascii="Arial" w:cs="Arial" w:eastAsia="Arial" w:hAnsi="Arial"/>
          <w:color w:val="1A1A1A"/>
          <w:sz w:val="22"/>
          <w:szCs w:val="22"/>
        </w:rPr>
        <w:t xml:space="preserve">Selecting a filter MUST hide non-matching cards without page reload</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5. Functional Requirements</w:t>
      </w:r>
    </w:p>
    <w:p>
      <w:pPr>
        <w:pStyle w:val="Heading2"/>
        <w:spacing w:after="120" w:before="280"/>
      </w:pPr>
      <w:r>
        <w:rPr>
          <w:rFonts w:ascii="Arial" w:cs="Arial" w:eastAsia="Arial" w:hAnsi="Arial"/>
          <w:b/>
          <w:bCs/>
          <w:color w:val="185FA5"/>
          <w:sz w:val="26"/>
          <w:szCs w:val="26"/>
        </w:rPr>
        <w:t xml:space="preserve">5.1 Detection Logic</w:t>
      </w:r>
    </w:p>
    <w:p>
      <w:pPr>
        <w:pStyle w:val="ListParagraph"/>
        <w:numPr>
          <w:ilvl w:val="0"/>
          <w:numId w:val="2"/>
        </w:numPr>
        <w:spacing w:after="60" w:before="60"/>
      </w:pPr>
      <w:r>
        <w:rPr>
          <w:rFonts w:ascii="Arial" w:cs="Arial" w:eastAsia="Arial" w:hAnsi="Arial"/>
          <w:color w:val="1A1A1A"/>
          <w:sz w:val="22"/>
          <w:szCs w:val="22"/>
        </w:rPr>
        <w:t xml:space="preserve">The validator backend MUST inspect each CdtTrfTxInf/Cdtr/PstlAdr block</w:t>
      </w:r>
    </w:p>
    <w:p>
      <w:pPr>
        <w:pStyle w:val="ListParagraph"/>
        <w:numPr>
          <w:ilvl w:val="0"/>
          <w:numId w:val="2"/>
        </w:numPr>
        <w:spacing w:after="60" w:before="60"/>
      </w:pPr>
      <w:r>
        <w:rPr>
          <w:rFonts w:ascii="Arial" w:cs="Arial" w:eastAsia="Arial" w:hAnsi="Arial"/>
          <w:color w:val="1A1A1A"/>
          <w:sz w:val="22"/>
          <w:szCs w:val="22"/>
        </w:rPr>
        <w:t xml:space="preserve">If one or more AdrLine elements are present, flag the instruction for Loqate processing</w:t>
      </w:r>
    </w:p>
    <w:p>
      <w:pPr>
        <w:pStyle w:val="ListParagraph"/>
        <w:numPr>
          <w:ilvl w:val="0"/>
          <w:numId w:val="2"/>
        </w:numPr>
        <w:spacing w:after="60" w:before="60"/>
      </w:pPr>
      <w:r>
        <w:rPr>
          <w:rFonts w:ascii="Arial" w:cs="Arial" w:eastAsia="Arial" w:hAnsi="Arial"/>
          <w:color w:val="1A1A1A"/>
          <w:sz w:val="22"/>
          <w:szCs w:val="22"/>
        </w:rPr>
        <w:t xml:space="preserve">If AdrLine is absent and structured fields (TwnNm + Ctry minimum) are present, mark as compliant and skip Loqate</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5.2 Loqate API Integration</w:t>
      </w:r>
    </w:p>
    <w:p>
      <w:pPr>
        <w:pStyle w:val="ListParagraph"/>
        <w:numPr>
          <w:ilvl w:val="0"/>
          <w:numId w:val="2"/>
        </w:numPr>
        <w:spacing w:after="60" w:before="60"/>
      </w:pPr>
      <w:r>
        <w:rPr>
          <w:rFonts w:ascii="Arial" w:cs="Arial" w:eastAsia="Arial" w:hAnsi="Arial"/>
          <w:color w:val="1A1A1A"/>
          <w:sz w:val="22"/>
          <w:szCs w:val="22"/>
        </w:rPr>
        <w:t xml:space="preserve">The Loqate call MUST be made server-side during report generation</w:t>
      </w:r>
    </w:p>
    <w:p>
      <w:pPr>
        <w:pStyle w:val="ListParagraph"/>
        <w:numPr>
          <w:ilvl w:val="0"/>
          <w:numId w:val="2"/>
        </w:numPr>
        <w:spacing w:after="60" w:before="60"/>
      </w:pPr>
      <w:r>
        <w:rPr>
          <w:rFonts w:ascii="Arial" w:cs="Arial" w:eastAsia="Arial" w:hAnsi="Arial"/>
          <w:color w:val="1A1A1A"/>
          <w:sz w:val="22"/>
          <w:szCs w:val="22"/>
        </w:rPr>
        <w:t xml:space="preserve">Input: concatenation of all AdrLine values for the instruction, plus country hint if Ctry is present</w:t>
      </w:r>
    </w:p>
    <w:p>
      <w:pPr>
        <w:pStyle w:val="ListParagraph"/>
        <w:numPr>
          <w:ilvl w:val="0"/>
          <w:numId w:val="2"/>
        </w:numPr>
        <w:spacing w:after="60" w:before="60"/>
      </w:pPr>
      <w:r>
        <w:rPr>
          <w:rFonts w:ascii="Arial" w:cs="Arial" w:eastAsia="Arial" w:hAnsi="Arial"/>
          <w:color w:val="1A1A1A"/>
          <w:sz w:val="22"/>
          <w:szCs w:val="22"/>
        </w:rPr>
        <w:t xml:space="preserve">The API endpoint to use is Loqate Verify + Parse (v2.10 or later)</w:t>
      </w:r>
    </w:p>
    <w:p>
      <w:pPr>
        <w:pStyle w:val="ListParagraph"/>
        <w:numPr>
          <w:ilvl w:val="0"/>
          <w:numId w:val="2"/>
        </w:numPr>
        <w:spacing w:after="60" w:before="60"/>
      </w:pPr>
      <w:r>
        <w:rPr>
          <w:rFonts w:ascii="Arial" w:cs="Arial" w:eastAsia="Arial" w:hAnsi="Arial"/>
          <w:color w:val="1A1A1A"/>
          <w:sz w:val="22"/>
          <w:szCs w:val="22"/>
        </w:rPr>
        <w:t xml:space="preserve">A timeout of 3 seconds per call MUST be enforced; on timeout, the report MUST render with a ‘Loqate unavailable’ message for that instruction and not block report delivery</w:t>
      </w:r>
    </w:p>
    <w:p>
      <w:pPr>
        <w:pStyle w:val="ListParagraph"/>
        <w:numPr>
          <w:ilvl w:val="0"/>
          <w:numId w:val="2"/>
        </w:numPr>
        <w:spacing w:after="60" w:before="60"/>
      </w:pPr>
      <w:r>
        <w:rPr>
          <w:rFonts w:ascii="Arial" w:cs="Arial" w:eastAsia="Arial" w:hAnsi="Arial"/>
          <w:color w:val="1A1A1A"/>
          <w:sz w:val="22"/>
          <w:szCs w:val="22"/>
        </w:rPr>
        <w:t xml:space="preserve">Batch processing: for files with multiple AdrLine instructions, calls MUST be made concurrently (async) up to a configurable concurrency limit (default: 10)</w:t>
      </w:r>
    </w:p>
    <w:p>
      <w:pPr>
        <w:pStyle w:val="ListParagraph"/>
        <w:numPr>
          <w:ilvl w:val="0"/>
          <w:numId w:val="2"/>
        </w:numPr>
        <w:spacing w:after="60" w:before="60"/>
      </w:pPr>
      <w:r>
        <w:rPr>
          <w:rFonts w:ascii="Arial" w:cs="Arial" w:eastAsia="Arial" w:hAnsi="Arial"/>
          <w:color w:val="1A1A1A"/>
          <w:sz w:val="22"/>
          <w:szCs w:val="22"/>
        </w:rPr>
        <w:t xml:space="preserve">API key MUST be stored in HSBC secrets management (not hardcoded or in environment variables accessible to the browser)</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5.3 Field Mapping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Loqate field</w:t>
            </w:r>
          </w:p>
        </w:tc>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ISO 20022 PstlAdr element</w:t>
            </w:r>
          </w:p>
        </w:tc>
        <w:tc>
          <w:tcPr>
            <w:tcW w:type="dxa" w:w="45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BuildingNumber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BldgNb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 only if returned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BuildingName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BldgNm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 only if returned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SubBuilding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FlrId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 only if returned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StrtNm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 only if returned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PostalCode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PstCd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 for high 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TwnNm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CountryIso2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Ctry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 required; validate against ISO 3166-1 alpha-2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MatchLevel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(confidence display)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Map to High/Medium/Low thresholds</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5.4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Band</w:t>
            </w:r>
          </w:p>
        </w:tc>
        <w:tc>
          <w:tcPr>
            <w:tcW w:type="dxa" w:w="27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Loqate MatchLevel score</w:t>
            </w:r>
          </w:p>
        </w:tc>
        <w:tc>
          <w:tcPr>
            <w:tcW w:type="dxa" w:w="5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Report treatment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Green pill; no additional 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65–84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Amber pill; warn box in comparison pane; XML snippet available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&lt;65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 pill; strong disclaimer; XML snippet shown with additional warning; consider suppressing auto-open</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5.5 Report Rendering</w:t>
      </w:r>
    </w:p>
    <w:p>
      <w:pPr>
        <w:pStyle w:val="ListParagraph"/>
        <w:numPr>
          <w:ilvl w:val="0"/>
          <w:numId w:val="2"/>
        </w:numPr>
        <w:spacing w:after="60" w:before="60"/>
      </w:pPr>
      <w:r>
        <w:rPr>
          <w:rFonts w:ascii="Arial" w:cs="Arial" w:eastAsia="Arial" w:hAnsi="Arial"/>
          <w:color w:val="1A1A1A"/>
          <w:sz w:val="22"/>
          <w:szCs w:val="22"/>
        </w:rPr>
        <w:t xml:space="preserve">The Loqate section MUST appear between the Validation Summary and Validation Details sections</w:t>
      </w:r>
    </w:p>
    <w:p>
      <w:pPr>
        <w:pStyle w:val="ListParagraph"/>
        <w:numPr>
          <w:ilvl w:val="0"/>
          <w:numId w:val="2"/>
        </w:numPr>
        <w:spacing w:after="60" w:before="60"/>
      </w:pPr>
      <w:r>
        <w:rPr>
          <w:rFonts w:ascii="Arial" w:cs="Arial" w:eastAsia="Arial" w:hAnsi="Arial"/>
          <w:color w:val="1A1A1A"/>
          <w:sz w:val="22"/>
          <w:szCs w:val="22"/>
        </w:rPr>
        <w:t xml:space="preserve">Each instruction is rendered as a collapsible card identified by End-to-End reference ID</w:t>
      </w:r>
    </w:p>
    <w:p>
      <w:pPr>
        <w:pStyle w:val="ListParagraph"/>
        <w:numPr>
          <w:ilvl w:val="0"/>
          <w:numId w:val="2"/>
        </w:numPr>
        <w:spacing w:after="60" w:before="60"/>
      </w:pPr>
      <w:r>
        <w:rPr>
          <w:rFonts w:ascii="Arial" w:cs="Arial" w:eastAsia="Arial" w:hAnsi="Arial"/>
          <w:color w:val="1A1A1A"/>
          <w:sz w:val="22"/>
          <w:szCs w:val="22"/>
        </w:rPr>
        <w:t xml:space="preserve">AdrLine instructions MUST default to expanded on page load; clean instructions MUST default to collapsed</w:t>
      </w:r>
    </w:p>
    <w:p>
      <w:pPr>
        <w:pStyle w:val="ListParagraph"/>
        <w:numPr>
          <w:ilvl w:val="0"/>
          <w:numId w:val="2"/>
        </w:numPr>
        <w:spacing w:after="60" w:before="60"/>
      </w:pPr>
      <w:r>
        <w:rPr>
          <w:rFonts w:ascii="Arial" w:cs="Arial" w:eastAsia="Arial" w:hAnsi="Arial"/>
          <w:color w:val="1A1A1A"/>
          <w:sz w:val="22"/>
          <w:szCs w:val="22"/>
        </w:rPr>
        <w:t xml:space="preserve">For single-instruction files, the filter bar MUST be hidden</w:t>
      </w:r>
    </w:p>
    <w:p>
      <w:pPr>
        <w:pStyle w:val="ListParagraph"/>
        <w:numPr>
          <w:ilvl w:val="0"/>
          <w:numId w:val="2"/>
        </w:numPr>
        <w:spacing w:after="60" w:before="60"/>
      </w:pPr>
      <w:r>
        <w:rPr>
          <w:rFonts w:ascii="Arial" w:cs="Arial" w:eastAsia="Arial" w:hAnsi="Arial"/>
          <w:color w:val="1A1A1A"/>
          <w:sz w:val="22"/>
          <w:szCs w:val="22"/>
        </w:rPr>
        <w:t xml:space="preserve">Clean instructions (no AdrLine) MUST still appear in the report with a green ‘Structured address’ badge and ISO 20022 compliant indicator</w:t>
      </w:r>
    </w:p>
    <w:p>
      <w:pPr>
        <w:pStyle w:val="ListParagraph"/>
        <w:numPr>
          <w:ilvl w:val="0"/>
          <w:numId w:val="2"/>
        </w:numPr>
        <w:spacing w:after="60" w:before="60"/>
      </w:pPr>
      <w:r>
        <w:rPr>
          <w:rFonts w:ascii="Arial" w:cs="Arial" w:eastAsia="Arial" w:hAnsi="Arial"/>
          <w:color w:val="1A1A1A"/>
          <w:sz w:val="22"/>
          <w:szCs w:val="22"/>
        </w:rPr>
        <w:t xml:space="preserve">The report HTML MUST be fully self-contained (no external CDN dependencies) for offline / email delivery</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6.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Category</w:t>
            </w:r>
          </w:p>
        </w:tc>
        <w:tc>
          <w:tcPr>
            <w:tcW w:type="dxa" w:w="7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calls must not increase total report generation time by more than 4 seconds for files with up to 50 AdrLine instructions (concurrent calls). For files &gt;50 AdrLine instructions, a progress indicator must be shown.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If Loqate API is unavailable, the report must still be delivered within SLA. The Loqate section must degrade gracefully, showing a service-unavailable notice per affected instruction.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credentials must never reach the browser. Customer address data sent to Loqate must comply with HSBC’s Data Transfer Impact Assessment for Loqate/GBG. TLS 1.2+ required for all API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retention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responses must not be persisted beyond the current report generation session unless explicitly required for audit logging (consult InfoSec).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Accuracy disclaimer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 disclaimer must appear in the report: ‘Parsed by Loqate. Always verify suggestions before resubmitting. HSBC is not liable for parsed address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Accessibility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Report HTML must meet WCAG 2.1 AA. All status indicators must not rely on colour 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Browser support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Chrome 110+, Edge 110+, Firefox 110+, Safari 16+. No IE11 support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Loqate call must log: Loqate reference ID, input address hash (not raw), confidence score, timestamp, and file reference. Stored in existing validator audit log.</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7. System Architecture &amp; Integration Points</w:t>
      </w:r>
    </w:p>
    <w:p>
      <w:pPr>
        <w:pStyle w:val="Heading2"/>
        <w:spacing w:after="120" w:before="280"/>
      </w:pPr>
      <w:r>
        <w:rPr>
          <w:rFonts w:ascii="Arial" w:cs="Arial" w:eastAsia="Arial" w:hAnsi="Arial"/>
          <w:b/>
          <w:bCs/>
          <w:color w:val="185FA5"/>
          <w:sz w:val="26"/>
          <w:szCs w:val="26"/>
        </w:rPr>
        <w:t xml:space="preserve">7.1 High-Level Flow</w:t>
      </w:r>
    </w:p>
    <w:p>
      <w:pPr>
        <w:spacing w:after="80" w:before="80"/>
      </w:pPr>
      <w:r>
        <w:rPr>
          <w:rFonts w:ascii="Arial" w:cs="Arial" w:eastAsia="Arial" w:hAnsi="Arial"/>
          <w:color w:val="1A1A1A"/>
          <w:sz w:val="22"/>
          <w:szCs w:val="22"/>
        </w:rPr>
        <w:t xml:space="preserve">1.  Customer uploads PAIN.001 file to File Validator via develop.hsbc.com</w:t>
      </w:r>
    </w:p>
    <w:p>
      <w:pPr>
        <w:spacing w:after="80" w:before="80"/>
      </w:pPr>
      <w:r>
        <w:rPr>
          <w:rFonts w:ascii="Arial" w:cs="Arial" w:eastAsia="Arial" w:hAnsi="Arial"/>
          <w:color w:val="1A1A1A"/>
          <w:sz w:val="22"/>
          <w:szCs w:val="22"/>
        </w:rPr>
        <w:t xml:space="preserve">2.  Validator backend performs existing schema and business rule validation</w:t>
      </w:r>
    </w:p>
    <w:p>
      <w:pPr>
        <w:spacing w:after="80" w:before="80"/>
      </w:pPr>
      <w:r>
        <w:rPr>
          <w:rFonts w:ascii="Arial" w:cs="Arial" w:eastAsia="Arial" w:hAnsi="Arial"/>
          <w:color w:val="1A1A1A"/>
          <w:sz w:val="22"/>
          <w:szCs w:val="22"/>
        </w:rPr>
        <w:t xml:space="preserve">3.  Backend scans Cdtr/PstlAdr blocks for AdrLine elements</w:t>
      </w:r>
    </w:p>
    <w:p>
      <w:pPr>
        <w:spacing w:after="80" w:before="80"/>
      </w:pPr>
      <w:r>
        <w:rPr>
          <w:rFonts w:ascii="Arial" w:cs="Arial" w:eastAsia="Arial" w:hAnsi="Arial"/>
          <w:color w:val="1A1A1A"/>
          <w:sz w:val="22"/>
          <w:szCs w:val="22"/>
        </w:rPr>
        <w:t xml:space="preserve">4.  For each AdrLine found, backend dispatches concurrent async call to Loqate API</w:t>
      </w:r>
    </w:p>
    <w:p>
      <w:pPr>
        <w:spacing w:after="80" w:before="80"/>
      </w:pPr>
      <w:r>
        <w:rPr>
          <w:rFonts w:ascii="Arial" w:cs="Arial" w:eastAsia="Arial" w:hAnsi="Arial"/>
          <w:color w:val="1A1A1A"/>
          <w:sz w:val="22"/>
          <w:szCs w:val="22"/>
        </w:rPr>
        <w:t xml:space="preserve">5.  Loqate returns parsed address components and confidence score</w:t>
      </w:r>
    </w:p>
    <w:p>
      <w:pPr>
        <w:spacing w:after="80" w:before="80"/>
      </w:pPr>
      <w:r>
        <w:rPr>
          <w:rFonts w:ascii="Arial" w:cs="Arial" w:eastAsia="Arial" w:hAnsi="Arial"/>
          <w:color w:val="1A1A1A"/>
          <w:sz w:val="22"/>
          <w:szCs w:val="22"/>
        </w:rPr>
        <w:t xml:space="preserve">6.  Backend maps Loqate response to ISO 20022 PstlAdr fields</w:t>
      </w:r>
    </w:p>
    <w:p>
      <w:pPr>
        <w:spacing w:after="80" w:before="80"/>
      </w:pPr>
      <w:r>
        <w:rPr>
          <w:rFonts w:ascii="Arial" w:cs="Arial" w:eastAsia="Arial" w:hAnsi="Arial"/>
          <w:color w:val="1A1A1A"/>
          <w:sz w:val="22"/>
          <w:szCs w:val="22"/>
        </w:rPr>
        <w:t xml:space="preserve">7.  Report generator injects Loqate results into the report HTML template</w:t>
      </w:r>
    </w:p>
    <w:p>
      <w:pPr>
        <w:spacing w:after="80" w:before="80"/>
      </w:pPr>
      <w:r>
        <w:rPr>
          <w:rFonts w:ascii="Arial" w:cs="Arial" w:eastAsia="Arial" w:hAnsi="Arial"/>
          <w:color w:val="1A1A1A"/>
          <w:sz w:val="22"/>
          <w:szCs w:val="22"/>
        </w:rPr>
        <w:t xml:space="preserve">8.  Complete HTML report (including Loqate section) is returned to the customer browser</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7.2 Integration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System</w:t>
            </w:r>
          </w:p>
        </w:tc>
        <w:tc>
          <w:tcPr>
            <w:tcW w:type="dxa" w:w="16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Owner</w:t>
            </w:r>
          </w:p>
        </w:tc>
        <w:tc>
          <w:tcPr>
            <w:tcW w:type="dxa" w:w="20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Integration type</w:t>
            </w:r>
          </w:p>
        </w:tc>
        <w:tc>
          <w:tcPr>
            <w:tcW w:type="dxa" w:w="39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Verify + Parse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GBG / Loqate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HTTPS REST (server-to-server)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Existing HSBC commercial agreement to be extended. Confirm data processing addendum covers payment address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Validator backend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GPCM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(code change)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Node.js / Java service — confirm with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Report HTML template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GPCM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Template injection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section to be added as a new template partial.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Secrets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InfoSec / Cloud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Vault / KMS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key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Audit logging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GPCM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Existing log pipeline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Extend with Loqate call metadata.</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8. Downloadable Report Specification</w:t>
      </w:r>
    </w:p>
    <w:p>
      <w:pPr>
        <w:spacing w:after="80" w:before="80"/>
      </w:pPr>
      <w:r>
        <w:rPr>
          <w:rFonts w:ascii="Arial" w:cs="Arial" w:eastAsia="Arial" w:hAnsi="Arial"/>
          <w:color w:val="1A1A1A"/>
          <w:sz w:val="22"/>
          <w:szCs w:val="22"/>
        </w:rPr>
        <w:t xml:space="preserve">The validation report must be available for customer download as a self-contained HTML file. The download must meet the following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Attribute</w:t>
            </w:r>
          </w:p>
        </w:tc>
        <w:tc>
          <w:tcPr>
            <w:tcW w:type="dxa" w:w="69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Single-file HTML (‘.html’) — all CSS and JavaScript inlined, no external dependencies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 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 ‘Download report’ button in the report header, generating a file named: HSBC_Validation_[FileRef]_[YYYYMMDD].html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Identical to the on-screen report including all Loqate suggestions, XML snippets, and filter state. Interactive elements (expand/collapse, tabs, copy buttons) must remain functional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Print / PDF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Report must render cleanly when printed or saved as PDF via browser print dialog. All instruction cards must be expanded in print view via @media print CSS.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Accessibility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Downloaded file must include ARIA labels and meet WCAG 2.1 AA in offline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customer data to be embedded in hidden fields or data attributes beyond what is visible in the rendered report.</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9. UX Specifications</w:t>
      </w:r>
    </w:p>
    <w:p>
      <w:pPr>
        <w:pStyle w:val="Heading2"/>
        <w:spacing w:after="120" w:before="280"/>
      </w:pPr>
      <w:r>
        <w:rPr>
          <w:rFonts w:ascii="Arial" w:cs="Arial" w:eastAsia="Arial" w:hAnsi="Arial"/>
          <w:b/>
          <w:bCs/>
          <w:color w:val="185FA5"/>
          <w:sz w:val="26"/>
          <w:szCs w:val="26"/>
        </w:rPr>
        <w:t xml:space="preserve">9.1 Report Section Order</w:t>
      </w:r>
    </w:p>
    <w:p>
      <w:pPr>
        <w:spacing w:after="80" w:before="80"/>
      </w:pPr>
      <w:r>
        <w:rPr>
          <w:rFonts w:ascii="Arial" w:cs="Arial" w:eastAsia="Arial" w:hAnsi="Arial"/>
          <w:color w:val="1A1A1A"/>
          <w:sz w:val="22"/>
          <w:szCs w:val="22"/>
        </w:rPr>
        <w:t xml:space="preserve">The report sections must render in the following order:</w:t>
      </w:r>
    </w:p>
    <w:p>
      <w:pPr>
        <w:pStyle w:val="ListParagraph"/>
        <w:numPr>
          <w:ilvl w:val="0"/>
          <w:numId w:val="2"/>
        </w:numPr>
        <w:spacing w:after="60" w:before="60"/>
      </w:pPr>
      <w:r>
        <w:rPr>
          <w:rFonts w:ascii="Arial" w:cs="Arial" w:eastAsia="Arial" w:hAnsi="Arial"/>
          <w:color w:val="1A1A1A"/>
          <w:sz w:val="22"/>
          <w:szCs w:val="22"/>
        </w:rPr>
        <w:t xml:space="preserve">File status header (file level / instruction level accept/reject)</w:t>
      </w:r>
    </w:p>
    <w:p>
      <w:pPr>
        <w:pStyle w:val="ListParagraph"/>
        <w:numPr>
          <w:ilvl w:val="0"/>
          <w:numId w:val="2"/>
        </w:numPr>
        <w:spacing w:after="60" w:before="60"/>
      </w:pPr>
      <w:r>
        <w:rPr>
          <w:rFonts w:ascii="Arial" w:cs="Arial" w:eastAsia="Arial" w:hAnsi="Arial"/>
          <w:color w:val="1A1A1A"/>
          <w:sz w:val="22"/>
          <w:szCs w:val="22"/>
        </w:rPr>
        <w:t xml:space="preserve">General information</w:t>
      </w:r>
    </w:p>
    <w:p>
      <w:pPr>
        <w:pStyle w:val="ListParagraph"/>
        <w:numPr>
          <w:ilvl w:val="0"/>
          <w:numId w:val="2"/>
        </w:numPr>
        <w:spacing w:after="60" w:before="60"/>
      </w:pPr>
      <w:r>
        <w:rPr>
          <w:rFonts w:ascii="Arial" w:cs="Arial" w:eastAsia="Arial" w:hAnsi="Arial"/>
          <w:color w:val="1A1A1A"/>
          <w:sz w:val="22"/>
          <w:szCs w:val="22"/>
        </w:rPr>
        <w:t xml:space="preserve">Testing file information</w:t>
      </w:r>
    </w:p>
    <w:p>
      <w:pPr>
        <w:pStyle w:val="ListParagraph"/>
        <w:numPr>
          <w:ilvl w:val="0"/>
          <w:numId w:val="2"/>
        </w:numPr>
        <w:spacing w:after="60" w:before="60"/>
      </w:pPr>
      <w:r>
        <w:rPr>
          <w:rFonts w:ascii="Arial" w:cs="Arial" w:eastAsia="Arial" w:hAnsi="Arial"/>
          <w:color w:val="1A1A1A"/>
          <w:sz w:val="22"/>
          <w:szCs w:val="22"/>
        </w:rPr>
        <w:t xml:space="preserve">Validation summary (error code table)</w:t>
      </w:r>
    </w:p>
    <w:p>
      <w:pPr>
        <w:pStyle w:val="ListParagraph"/>
        <w:numPr>
          <w:ilvl w:val="0"/>
          <w:numId w:val="2"/>
        </w:numPr>
        <w:spacing w:after="60" w:before="60"/>
      </w:pPr>
      <w:r>
        <w:rPr>
          <w:rFonts w:ascii="Arial" w:cs="Arial" w:eastAsia="Arial" w:hAnsi="Arial"/>
          <w:color w:val="1A1A1A"/>
          <w:sz w:val="22"/>
          <w:szCs w:val="22"/>
        </w:rPr>
        <w:t xml:space="preserve">Loqate address suggestions (NEW — this feature)</w:t>
      </w:r>
    </w:p>
    <w:p>
      <w:pPr>
        <w:pStyle w:val="ListParagraph"/>
        <w:numPr>
          <w:ilvl w:val="0"/>
          <w:numId w:val="2"/>
        </w:numPr>
        <w:spacing w:after="60" w:before="60"/>
      </w:pPr>
      <w:r>
        <w:rPr>
          <w:rFonts w:ascii="Arial" w:cs="Arial" w:eastAsia="Arial" w:hAnsi="Arial"/>
          <w:color w:val="1A1A1A"/>
          <w:sz w:val="22"/>
          <w:szCs w:val="22"/>
        </w:rPr>
        <w:t xml:space="preserve">Validation details (input XML + error detail)</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9.2 Instruction 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State</w:t>
            </w:r>
          </w:p>
        </w:tc>
        <w:tc>
          <w:tcPr>
            <w:tcW w:type="dxa" w:w="28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Trigger</w:t>
            </w:r>
          </w:p>
        </w:tc>
        <w:tc>
          <w:tcPr>
            <w:tcW w:type="dxa" w:w="4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Visual treatment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AdrLine — expanded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Instruction contains AdrLine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 error icon, amber AdrLine badge, confidence pill, Address comparison tab open by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AdrLine — collapsed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clicks header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 error icon, badges visible, chevron points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Clean — collapsed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Instruction has structured address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Green tick icon, ‘Structured address’ green badge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Clean — expanded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clicks header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Shows existing structured fields + ‘ISO 20022 compliant’ indicator</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9.3 Copy XML Button Behaviour</w:t>
      </w:r>
    </w:p>
    <w:p>
      <w:pPr>
        <w:pStyle w:val="ListParagraph"/>
        <w:numPr>
          <w:ilvl w:val="0"/>
          <w:numId w:val="2"/>
        </w:numPr>
        <w:spacing w:after="60" w:before="60"/>
      </w:pPr>
      <w:r>
        <w:rPr>
          <w:rFonts w:ascii="Arial" w:cs="Arial" w:eastAsia="Arial" w:hAnsi="Arial"/>
          <w:color w:val="1A1A1A"/>
          <w:sz w:val="22"/>
          <w:szCs w:val="22"/>
        </w:rPr>
        <w:t xml:space="preserve">Button label: ‘Copy XML’</w:t>
      </w:r>
    </w:p>
    <w:p>
      <w:pPr>
        <w:pStyle w:val="ListParagraph"/>
        <w:numPr>
          <w:ilvl w:val="0"/>
          <w:numId w:val="2"/>
        </w:numPr>
        <w:spacing w:after="60" w:before="60"/>
      </w:pPr>
      <w:r>
        <w:rPr>
          <w:rFonts w:ascii="Arial" w:cs="Arial" w:eastAsia="Arial" w:hAnsi="Arial"/>
          <w:color w:val="1A1A1A"/>
          <w:sz w:val="22"/>
          <w:szCs w:val="22"/>
        </w:rPr>
        <w:t xml:space="preserve">On click: copy raw XML to clipboard, transition label to ‘✓ Copied’</w:t>
      </w:r>
    </w:p>
    <w:p>
      <w:pPr>
        <w:pStyle w:val="ListParagraph"/>
        <w:numPr>
          <w:ilvl w:val="0"/>
          <w:numId w:val="2"/>
        </w:numPr>
        <w:spacing w:after="60" w:before="60"/>
      </w:pPr>
      <w:r>
        <w:rPr>
          <w:rFonts w:ascii="Arial" w:cs="Arial" w:eastAsia="Arial" w:hAnsi="Arial"/>
          <w:color w:val="1A1A1A"/>
          <w:sz w:val="22"/>
          <w:szCs w:val="22"/>
        </w:rPr>
        <w:t xml:space="preserve">After 1.5 seconds: revert label to ‘Copy XML’</w:t>
      </w:r>
    </w:p>
    <w:p>
      <w:pPr>
        <w:pStyle w:val="ListParagraph"/>
        <w:numPr>
          <w:ilvl w:val="0"/>
          <w:numId w:val="2"/>
        </w:numPr>
        <w:spacing w:after="60" w:before="60"/>
      </w:pPr>
      <w:r>
        <w:rPr>
          <w:rFonts w:ascii="Arial" w:cs="Arial" w:eastAsia="Arial" w:hAnsi="Arial"/>
          <w:color w:val="1A1A1A"/>
          <w:sz w:val="22"/>
          <w:szCs w:val="22"/>
        </w:rPr>
        <w:t xml:space="preserve">If clipboard API unavailable (e.g. non-HTTPS context): show a modal with the XML in a selectable textarea</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10. Data, Privacy &amp; Compliance</w:t>
      </w:r>
    </w:p>
    <w:p>
      <w:pPr>
        <w:pStyle w:val="ListParagraph"/>
        <w:numPr>
          <w:ilvl w:val="0"/>
          <w:numId w:val="2"/>
        </w:numPr>
        <w:spacing w:after="60" w:before="60"/>
      </w:pPr>
      <w:r>
        <w:rPr>
          <w:rFonts w:ascii="Arial" w:cs="Arial" w:eastAsia="Arial" w:hAnsi="Arial"/>
          <w:color w:val="1A1A1A"/>
          <w:sz w:val="22"/>
          <w:szCs w:val="22"/>
        </w:rPr>
        <w:t xml:space="preserve">A Data Transfer Impact Assessment (DTIA) must be completed before go-live to confirm that sending creditor postal addresses to Loqate / GBG is permitted under HSBC’s data processing agreements and applicable data protection law (UK GDPR, PDPO etc.)</w:t>
      </w:r>
    </w:p>
    <w:p>
      <w:pPr>
        <w:pStyle w:val="ListParagraph"/>
        <w:numPr>
          <w:ilvl w:val="0"/>
          <w:numId w:val="2"/>
        </w:numPr>
        <w:spacing w:after="60" w:before="60"/>
      </w:pPr>
      <w:r>
        <w:rPr>
          <w:rFonts w:ascii="Arial" w:cs="Arial" w:eastAsia="Arial" w:hAnsi="Arial"/>
          <w:color w:val="1A1A1A"/>
          <w:sz w:val="22"/>
          <w:szCs w:val="22"/>
        </w:rPr>
        <w:t xml:space="preserve">Address data sent to Loqate must be minimised to the AdrLine string and country hint only — no customer name, account number, or payment amount</w:t>
      </w:r>
    </w:p>
    <w:p>
      <w:pPr>
        <w:pStyle w:val="ListParagraph"/>
        <w:numPr>
          <w:ilvl w:val="0"/>
          <w:numId w:val="2"/>
        </w:numPr>
        <w:spacing w:after="60" w:before="60"/>
      </w:pPr>
      <w:r>
        <w:rPr>
          <w:rFonts w:ascii="Arial" w:cs="Arial" w:eastAsia="Arial" w:hAnsi="Arial"/>
          <w:color w:val="1A1A1A"/>
          <w:sz w:val="22"/>
          <w:szCs w:val="22"/>
        </w:rPr>
        <w:t xml:space="preserve">Loqate’s data retention policy must be confirmed with GBG; HSBC must ensure customer data is not retained by Loqate beyond the scope of the parsing call</w:t>
      </w:r>
    </w:p>
    <w:p>
      <w:pPr>
        <w:pStyle w:val="ListParagraph"/>
        <w:numPr>
          <w:ilvl w:val="0"/>
          <w:numId w:val="2"/>
        </w:numPr>
        <w:spacing w:after="60" w:before="60"/>
      </w:pPr>
      <w:r>
        <w:rPr>
          <w:rFonts w:ascii="Arial" w:cs="Arial" w:eastAsia="Arial" w:hAnsi="Arial"/>
          <w:color w:val="1A1A1A"/>
          <w:sz w:val="22"/>
          <w:szCs w:val="22"/>
        </w:rPr>
        <w:t xml:space="preserve">The audit log entry for each Loqate call must store a hash of the input address (SHA-256), not the raw address, unless audit requirements mandate otherwise</w:t>
      </w:r>
    </w:p>
    <w:p>
      <w:pPr>
        <w:pStyle w:val="ListParagraph"/>
        <w:numPr>
          <w:ilvl w:val="0"/>
          <w:numId w:val="2"/>
        </w:numPr>
        <w:spacing w:after="60" w:before="60"/>
      </w:pPr>
      <w:r>
        <w:rPr>
          <w:rFonts w:ascii="Arial" w:cs="Arial" w:eastAsia="Arial" w:hAnsi="Arial"/>
          <w:color w:val="1A1A1A"/>
          <w:sz w:val="22"/>
          <w:szCs w:val="22"/>
        </w:rPr>
        <w:t xml:space="preserve">The report disclaimer (‘Parsed by Loqate. Always verify suggestions before resubmitting.’) satisfies the requirement to inform customers that automated parsing has been applied</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11. Testing Requirements</w:t>
      </w:r>
    </w:p>
    <w:p>
      <w:pPr>
        <w:pStyle w:val="Heading2"/>
        <w:spacing w:after="120" w:before="280"/>
      </w:pPr>
      <w:r>
        <w:rPr>
          <w:rFonts w:ascii="Arial" w:cs="Arial" w:eastAsia="Arial" w:hAnsi="Arial"/>
          <w:b/>
          <w:bCs/>
          <w:color w:val="185FA5"/>
          <w:sz w:val="26"/>
          <w:szCs w:val="26"/>
        </w:rPr>
        <w:t xml:space="preserve">11.1 Functional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Test ID</w:t>
            </w:r>
          </w:p>
        </w:tc>
        <w:tc>
          <w:tcPr>
            <w:tcW w:type="dxa" w:w="32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Scenario</w:t>
            </w:r>
          </w:p>
        </w:tc>
        <w:tc>
          <w:tcPr>
            <w:tcW w:type="dxa" w:w="52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Expected result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 instruction PAIN.001 with AdrLine only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section appears; one card expanded; structured fields shown; XML snippet correct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Multi-instruction file: 3 AdrLine, 2 structured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cards rendered; 3 AdrLine expanded; 2 clean collapsed; filter counts correct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 confidence result (≥85%)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Green confidence pill; no amber warning in comparison pane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 confidence result (65–84%)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Amber pill; amber warn box in comparison pane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confidence result (&lt;65%)</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 pill; strong disclaimer; XML snippet present with warning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timeout (&gt;3s)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Report delivered; affected instruction shows ‘Loqate unavailable’; other instructions unaffected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returns empty result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Instruction shows ‘Address could not be parsed’; no XML snippet tab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AdrLine with 2 lines (multi-line address)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Both lines concatenated and sent to Loqate; result shows FlrId/BldgNm if returned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Copy XML button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Correct raw XML copied to clipboard; button shows ‘✓ Copied’ for 1.5s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Filter: AdrLine detected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AdrLine cards visible; clean cards hidden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 report HTML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downloaded; interactive elements functional offline; all cards present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Print report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cards expanded in print view; no overlapping elements; Loqate section visible</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11.2 Non-Functional Tests</w:t>
      </w:r>
    </w:p>
    <w:p>
      <w:pPr>
        <w:pStyle w:val="ListParagraph"/>
        <w:numPr>
          <w:ilvl w:val="0"/>
          <w:numId w:val="2"/>
        </w:numPr>
        <w:spacing w:after="60" w:before="60"/>
      </w:pPr>
      <w:r>
        <w:rPr>
          <w:rFonts w:ascii="Arial" w:cs="Arial" w:eastAsia="Arial" w:hAnsi="Arial"/>
          <w:color w:val="1A1A1A"/>
          <w:sz w:val="22"/>
          <w:szCs w:val="22"/>
        </w:rPr>
        <w:t xml:space="preserve">Performance: generate report for file with 50 AdrLine instructions; confirm &lt; 4s Loqate overhead</w:t>
      </w:r>
    </w:p>
    <w:p>
      <w:pPr>
        <w:pStyle w:val="ListParagraph"/>
        <w:numPr>
          <w:ilvl w:val="0"/>
          <w:numId w:val="2"/>
        </w:numPr>
        <w:spacing w:after="60" w:before="60"/>
      </w:pPr>
      <w:r>
        <w:rPr>
          <w:rFonts w:ascii="Arial" w:cs="Arial" w:eastAsia="Arial" w:hAnsi="Arial"/>
          <w:color w:val="1A1A1A"/>
          <w:sz w:val="22"/>
          <w:szCs w:val="22"/>
        </w:rPr>
        <w:t xml:space="preserve">Security: confirm no Loqate API key in browser network tab or report HTML source</w:t>
      </w:r>
    </w:p>
    <w:p>
      <w:pPr>
        <w:pStyle w:val="ListParagraph"/>
        <w:numPr>
          <w:ilvl w:val="0"/>
          <w:numId w:val="2"/>
        </w:numPr>
        <w:spacing w:after="60" w:before="60"/>
      </w:pPr>
      <w:r>
        <w:rPr>
          <w:rFonts w:ascii="Arial" w:cs="Arial" w:eastAsia="Arial" w:hAnsi="Arial"/>
          <w:color w:val="1A1A1A"/>
          <w:sz w:val="22"/>
          <w:szCs w:val="22"/>
        </w:rPr>
        <w:t xml:space="preserve">Accessibility: run axe / WAVE on generated report; resolve all WCAG 2.1 AA violations</w:t>
      </w:r>
    </w:p>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12. Delivery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Milestone</w:t>
            </w:r>
          </w:p>
        </w:tc>
        <w:tc>
          <w:tcPr>
            <w:tcW w:type="dxa" w:w="28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Owner</w:t>
            </w:r>
          </w:p>
        </w:tc>
        <w:tc>
          <w:tcPr>
            <w:tcW w:type="dxa" w:w="3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Target date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PRD sign-off by Product &amp; Compliance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Management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April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Transfer Impact Assessment 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InfoSec / DPO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 May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Loqate API contract extension confirmed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Procurement / GPCM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 May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Technical design / architecture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GPCM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May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Development sprint 1 (backend Loqate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GPCM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27 June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Development sprint 2 (report HTML + UX)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GPCM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 July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SIT / UAT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QA +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 August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Pilot with 3 selected corporate clients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 RM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September 2026</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Production release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September 2026</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13. Open Items &amp; Decisions Required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900"/>
        <w:gridCol w:w="1760"/>
      </w:tblGrid>
      <w:tr>
        <w:trPr>
          <w:tblHeader/>
        </w:trPr>
        <w:tc>
          <w:tcPr>
            <w:tcW w:type="dxa" w:w="7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w:t>
            </w:r>
          </w:p>
        </w:tc>
        <w:tc>
          <w:tcPr>
            <w:tcW w:type="dxa" w:w="45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Item</w:t>
            </w:r>
          </w:p>
        </w:tc>
        <w:tc>
          <w:tcPr>
            <w:tcW w:type="dxa" w:w="19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Owner</w:t>
            </w:r>
          </w:p>
        </w:tc>
        <w:tc>
          <w:tcPr>
            <w:tcW w:type="dxa" w:w="17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Due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 Loqate contract extension covers PAIN.001 creditor address data from all HSBC legal entities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Procurement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 May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 DTIA outcome and any restrictions on which countries’ addresses can be sent to Loqate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DPO / InfoSec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 May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Agree confidence threshold values (default: High ≥85%, Medium 65-84%) with Product &amp; Operations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April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Decide whether low-confidence (&lt;65%) results should display XML snippet or show manual-only guidance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April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 File Validator backend technology stack (Node.js / Java / Python) to ensure Loqate SDK compatibility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 GPCM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April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Agree audit log retention period for Loqate call metadata with Compliance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Compliance / 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May 2026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OI-07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Determine whether Debtor (Dbtr) address parsing should be included in Phase 1 or deferred to Phase 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April 2026</w:t>
            </w:r>
          </w:p>
        </w:tc>
      </w:tr>
    </w:tbl>
    <w:p>
      <w:r>
        <w:br w:type="page"/>
      </w:r>
    </w:p>
    <w:p>
      <w:pPr>
        <w:pStyle w:val="Heading1"/>
        <w:pBdr>
          <w:bottom w:val="single" w:color="DB0011" w:sz="6" w:space="6"/>
        </w:pBdr>
        <w:spacing w:after="160" w:before="320"/>
      </w:pPr>
      <w:r>
        <w:rPr>
          <w:rFonts w:ascii="Arial" w:cs="Arial" w:eastAsia="Arial" w:hAnsi="Arial"/>
          <w:b/>
          <w:bCs/>
          <w:color w:val="003366"/>
          <w:sz w:val="32"/>
          <w:szCs w:val="32"/>
        </w:rPr>
        <w:t xml:space="preserve">14. Appendix</w:t>
      </w:r>
    </w:p>
    <w:p>
      <w:pPr>
        <w:pStyle w:val="Heading2"/>
        <w:spacing w:after="120" w:before="280"/>
      </w:pPr>
      <w:r>
        <w:rPr>
          <w:rFonts w:ascii="Arial" w:cs="Arial" w:eastAsia="Arial" w:hAnsi="Arial"/>
          <w:b/>
          <w:bCs/>
          <w:color w:val="185FA5"/>
          <w:sz w:val="26"/>
          <w:szCs w:val="26"/>
        </w:rPr>
        <w:t xml:space="preserve">14.1 ISO 20022 PstlAdr Structured Elements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XML element</w:t>
            </w:r>
          </w:p>
        </w:tc>
        <w:tc>
          <w:tcPr>
            <w:tcW w:type="dxa" w:w="25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Field name</w:t>
            </w:r>
          </w:p>
        </w:tc>
        <w:tc>
          <w:tcPr>
            <w:tcW w:type="dxa" w:w="15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Max length</w:t>
            </w:r>
          </w:p>
        </w:tc>
        <w:tc>
          <w:tcPr>
            <w:tcW w:type="dxa" w:w="33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Required for CHAPS compliance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AdrLine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Address line (unstructured)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permitted when structured fields present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StrtNm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Street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BldgNb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Building 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BldgNm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Building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Floor identifier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PstBx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box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PstCd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TwnNm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Town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MANDATORY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TwnLctnNm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Town location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DstrctNm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District 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CtrySubDvsn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Country sub-division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Country (ISO 3166-1 alpha-2)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MANDATORY</w:t>
            </w:r>
          </w:p>
        </w:tc>
      </w:tr>
    </w:tbl>
    <w:p>
      <w:pPr>
        <w:spacing w:after="80" w:before="80"/>
      </w:pPr>
      <w:r>
        <w:t xml:space="preserve"/>
      </w:r>
    </w:p>
    <w:p>
      <w:pPr>
        <w:pStyle w:val="Heading2"/>
        <w:spacing w:after="120" w:before="280"/>
      </w:pPr>
      <w:r>
        <w:rPr>
          <w:rFonts w:ascii="Arial" w:cs="Arial" w:eastAsia="Arial" w:hAnsi="Arial"/>
          <w:b/>
          <w:bCs/>
          <w:color w:val="185FA5"/>
          <w:sz w:val="26"/>
          <w:szCs w:val="26"/>
        </w:rPr>
        <w:t xml:space="preserve">14.2 Loqate API Reference</w:t>
      </w:r>
    </w:p>
    <w:p>
      <w:pPr>
        <w:pStyle w:val="ListParagraph"/>
        <w:numPr>
          <w:ilvl w:val="0"/>
          <w:numId w:val="2"/>
        </w:numPr>
        <w:spacing w:after="60" w:before="60"/>
      </w:pPr>
      <w:r>
        <w:rPr>
          <w:rFonts w:ascii="Arial" w:cs="Arial" w:eastAsia="Arial" w:hAnsi="Arial"/>
          <w:color w:val="1A1A1A"/>
          <w:sz w:val="22"/>
          <w:szCs w:val="22"/>
        </w:rPr>
        <w:t xml:space="preserve">API product: Loqate Verify + Parse</w:t>
      </w:r>
    </w:p>
    <w:p>
      <w:pPr>
        <w:pStyle w:val="ListParagraph"/>
        <w:numPr>
          <w:ilvl w:val="0"/>
          <w:numId w:val="2"/>
        </w:numPr>
        <w:spacing w:after="60" w:before="60"/>
      </w:pPr>
      <w:r>
        <w:rPr>
          <w:rFonts w:ascii="Arial" w:cs="Arial" w:eastAsia="Arial" w:hAnsi="Arial"/>
          <w:color w:val="1A1A1A"/>
          <w:sz w:val="22"/>
          <w:szCs w:val="22"/>
        </w:rPr>
        <w:t xml:space="preserve">Documentation: https://www.loqate.com/developers/</w:t>
      </w:r>
    </w:p>
    <w:p>
      <w:pPr>
        <w:pStyle w:val="ListParagraph"/>
        <w:numPr>
          <w:ilvl w:val="0"/>
          <w:numId w:val="2"/>
        </w:numPr>
        <w:spacing w:after="60" w:before="60"/>
      </w:pPr>
      <w:r>
        <w:rPr>
          <w:rFonts w:ascii="Arial" w:cs="Arial" w:eastAsia="Arial" w:hAnsi="Arial"/>
          <w:color w:val="1A1A1A"/>
          <w:sz w:val="22"/>
          <w:szCs w:val="22"/>
        </w:rPr>
        <w:t xml:space="preserve">Relevant endpoint: /capture/interactive/find/v1.1/</w:t>
      </w:r>
    </w:p>
    <w:p>
      <w:pPr>
        <w:pStyle w:val="ListParagraph"/>
        <w:numPr>
          <w:ilvl w:val="0"/>
          <w:numId w:val="2"/>
        </w:numPr>
        <w:spacing w:after="60" w:before="60"/>
      </w:pPr>
      <w:r>
        <w:rPr>
          <w:rFonts w:ascii="Arial" w:cs="Arial" w:eastAsia="Arial" w:hAnsi="Arial"/>
          <w:color w:val="1A1A1A"/>
          <w:sz w:val="22"/>
          <w:szCs w:val="22"/>
        </w:rPr>
        <w:t xml:space="preserve">Authentication: API key in request header</w:t>
      </w:r>
    </w:p>
    <w:p>
      <w:pPr>
        <w:pStyle w:val="ListParagraph"/>
        <w:numPr>
          <w:ilvl w:val="0"/>
          <w:numId w:val="2"/>
        </w:numPr>
        <w:spacing w:after="60" w:before="60"/>
      </w:pPr>
      <w:r>
        <w:rPr>
          <w:rFonts w:ascii="Arial" w:cs="Arial" w:eastAsia="Arial" w:hAnsi="Arial"/>
          <w:color w:val="1A1A1A"/>
          <w:sz w:val="22"/>
          <w:szCs w:val="22"/>
        </w:rPr>
        <w:t xml:space="preserve">Rate limits: confirm with GBG account manager</w:t>
      </w:r>
    </w:p>
    <w:p>
      <w:pPr>
        <w:spacing w:after="80" w:before="80"/>
      </w:pPr>
      <w:r>
        <w:t xml:space="preserve"/>
      </w:r>
    </w:p>
    <w:p>
      <w:pPr>
        <w:pStyle w:val="Heading2"/>
        <w:spacing w:after="120" w:before="280"/>
      </w:pPr>
      <w:r>
        <w:rPr>
          <w:rFonts w:ascii="Arial" w:cs="Arial" w:eastAsia="Arial" w:hAnsi="Arial"/>
          <w:b/>
          <w:bCs/>
          <w:color w:val="185FA5"/>
          <w:sz w:val="26"/>
          <w:szCs w:val="26"/>
        </w:rPr>
        <w:t xml:space="preserve">14.3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Version</w:t>
            </w:r>
          </w:p>
        </w:tc>
        <w:tc>
          <w:tcPr>
            <w:tcW w:type="dxa" w:w="16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Date</w:t>
            </w:r>
          </w:p>
        </w:tc>
        <w:tc>
          <w:tcPr>
            <w:tcW w:type="dxa" w:w="240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Author</w:t>
            </w:r>
          </w:p>
        </w:tc>
        <w:tc>
          <w:tcPr>
            <w:tcW w:type="dxa" w:w="4160"/>
            <w:tcBorders>
              <w:top w:val="single" w:color="CCCCCC" w:sz="1"/>
              <w:left w:val="single" w:color="CCCCCC" w:sz="1"/>
              <w:bottom w:val="single" w:color="CCCCCC" w:sz="1"/>
              <w:right w:val="single" w:color="CCCCCC" w:sz="1"/>
            </w:tcBorders>
            <w:shd w:fill="E4E8EA" w:val="clear"/>
            <w:tcMar>
              <w:top w:type="dxa" w:w="80"/>
              <w:left w:type="dxa" w:w="120"/>
              <w:bottom w:type="dxa" w:w="80"/>
              <w:right w:type="dxa" w:w="120"/>
            </w:tcMar>
          </w:tcPr>
          <w:p>
            <w:r>
              <w:rPr>
                <w:rFonts w:ascii="Arial" w:cs="Arial" w:eastAsia="Arial" w:hAnsi="Arial"/>
                <w:b/>
                <w:bCs/>
                <w:color w:val="003366"/>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 Apr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Product Management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draft for IT review</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8" w:val="clear"/>
            <w:tcMar>
              <w:top w:type="dxa" w:w="120"/>
              <w:left w:type="dxa" w:w="160"/>
              <w:bottom w:type="dxa" w:w="120"/>
              <w:right w:type="dxa" w:w="160"/>
            </w:tcMar>
          </w:tcPr>
          <w:p>
            <w:r>
              <w:rPr>
                <w:rFonts w:ascii="Arial" w:cs="Arial" w:eastAsia="Arial" w:hAnsi="Arial"/>
                <w:b/>
                <w:bCs/>
                <w:color w:val="003366"/>
                <w:sz w:val="20"/>
                <w:szCs w:val="20"/>
              </w:rPr>
              <w:t xml:space="preserve">Document approval</w:t>
            </w:r>
          </w:p>
          <w:p>
            <w:pPr>
              <w:spacing w:before="60"/>
            </w:pPr>
            <w:r>
              <w:rPr>
                <w:rFonts w:ascii="Arial" w:cs="Arial" w:eastAsia="Arial" w:hAnsi="Arial"/>
                <w:color w:val="1A1A1A"/>
                <w:sz w:val="20"/>
                <w:szCs w:val="20"/>
              </w:rPr>
              <w:t xml:space="preserve">This document requires sign-off from: Product Management, IT (GPCM), InfoSec / DPO, Compliance, and Procurement before development commences.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60"/>
    </w:pPr>
    <w:r>
      <w:rPr>
        <w:rFonts w:ascii="Arial" w:cs="Arial" w:eastAsia="Arial" w:hAnsi="Arial"/>
        <w:color w:val="444444"/>
        <w:sz w:val="18"/>
        <w:szCs w:val="18"/>
      </w:rPr>
      <w:t xml:space="preserve">HSBC Holdings plc © 2026. For internal use only.</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0011" w:sz="6" w:space="4"/>
      </w:pBdr>
      <w:tabs>
        <w:tab w:val="right" w:pos="9026"/>
      </w:tabs>
      <w:spacing w:after="0"/>
    </w:pPr>
    <w:r>
      <w:rPr>
        <w:rFonts w:ascii="Arial" w:cs="Arial" w:eastAsia="Arial" w:hAnsi="Arial"/>
        <w:b/>
        <w:bCs/>
        <w:color w:val="DB0011"/>
        <w:sz w:val="24"/>
        <w:szCs w:val="24"/>
      </w:rPr>
      <w:t xml:space="preserve">HSBC</w:t>
    </w:r>
    <w:r>
      <w:rPr>
        <w:rFonts w:ascii="Arial" w:cs="Arial" w:eastAsia="Arial" w:hAnsi="Arial"/>
        <w:color w:val="444444"/>
        <w:sz w:val="20"/>
        <w:szCs w:val="20"/>
      </w:rPr>
      <w:t xml:space="preserve">   |   File Validator — Loqate Address Parsing: Product Requirements Document</w:t>
    </w:r>
    <w:r>
      <w:rPr>
        <w:rFonts w:ascii="Arial" w:cs="Arial" w:eastAsia="Arial" w:hAnsi="Arial"/>
        <w:sz w:val="20"/>
        <w:szCs w:val="20"/>
      </w:rPr>
      <w:t xml:space="preserve">	</w:t>
    </w:r>
    <w:r>
      <w:rPr>
        <w:rFonts w:ascii="Arial" w:cs="Arial" w:eastAsia="Arial" w:hAnsi="Arial"/>
        <w:b/>
        <w:bCs/>
        <w:color w:val="9966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36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2026-04-19T16:30:02.115Z</dcterms:created>
  <dcterms:modified xsi:type="dcterms:W3CDTF">2026-04-19T16:30:02.116Z</dcterms:modified>
</cp:coreProperties>
</file>

<file path=docProps/custom.xml><?xml version="1.0" encoding="utf-8"?>
<Properties xmlns="http://schemas.openxmlformats.org/officeDocument/2006/custom-properties" xmlns:vt="http://schemas.openxmlformats.org/officeDocument/2006/docPropsVTypes"/>
</file>