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jc w:val="center"/>
      </w:pPr>
      <w:r>
        <w:rPr>
          <w:rFonts w:ascii="Arial" w:hAnsi="Arial"/>
          <w:b/>
          <w:i w:val="0"/>
          <w:color w:val="1A3C6E"/>
          <w:sz w:val="40"/>
        </w:rPr>
        <w:t>CAMPUSAI: MULTIMODAL CLOUD-NATIVE INFRASTRUCTURE &amp; INCIDENT DIAGNOSTIC SYSTEM</w:t>
      </w:r>
    </w:p>
    <w:p>
      <w:pPr>
        <w:spacing w:after="480"/>
        <w:jc w:val="center"/>
      </w:pPr>
      <w:r>
        <w:rPr>
          <w:rFonts w:ascii="Arial" w:hAnsi="Arial"/>
          <w:b w:val="0"/>
          <w:i/>
          <w:color w:val="57534E"/>
          <w:sz w:val="26"/>
        </w:rPr>
        <w:t>A 6-Tier Serverless Cloud Architecture on Google Cloud Platform (GCP)</w:t>
      </w:r>
    </w:p>
    <w:tbl>
      <w:tblPr>
        <w:tblW w:type="auto" w:w="0"/>
        <w:jc w:val="center"/>
        <w:tblLook w:firstColumn="1" w:firstRow="1" w:lastColumn="0" w:lastRow="0" w:noHBand="0" w:noVBand="1" w:val="04A0"/>
      </w:tblPr>
      <w:tblGrid>
        <w:gridCol w:w="4680"/>
        <w:gridCol w:w="4680"/>
      </w:tblGrid>
      <w:tr>
        <w:tc>
          <w:tcPr>
            <w:tcW w:type="dxa" w:w="3168"/>
          </w:tcPr>
          <w:p>
            <w:pPr>
              <w:spacing w:after="60"/>
            </w:pPr>
            <w:r>
              <w:rPr>
                <w:rFonts w:ascii="Arial" w:hAnsi="Arial"/>
                <w:b/>
                <w:i w:val="0"/>
                <w:color w:val="0C0A09"/>
                <w:sz w:val="21"/>
              </w:rPr>
              <w:t>Course / Subject:</w:t>
            </w:r>
          </w:p>
        </w:tc>
        <w:tc>
          <w:tcPr>
            <w:tcW w:type="dxa" w:w="6192"/>
          </w:tcPr>
          <w:p>
            <w:pPr>
              <w:spacing w:after="60"/>
            </w:pPr>
            <w:r>
              <w:rPr>
                <w:rFonts w:ascii="Times New Roman" w:hAnsi="Times New Roman"/>
                <w:b w:val="0"/>
                <w:i w:val="0"/>
                <w:color w:val="0C0A09"/>
                <w:sz w:val="21"/>
              </w:rPr>
              <w:t>Cloud Computing (CC) Laboratory Continuous Assessment</w:t>
            </w:r>
          </w:p>
        </w:tc>
      </w:tr>
      <w:tr>
        <w:tc>
          <w:tcPr>
            <w:tcW w:type="dxa" w:w="3168"/>
          </w:tcPr>
          <w:p>
            <w:pPr>
              <w:spacing w:after="60"/>
            </w:pPr>
            <w:r>
              <w:rPr>
                <w:rFonts w:ascii="Arial" w:hAnsi="Arial"/>
                <w:b/>
                <w:i w:val="0"/>
                <w:color w:val="0C0A09"/>
                <w:sz w:val="21"/>
              </w:rPr>
              <w:t>Submitted By:</w:t>
            </w:r>
          </w:p>
        </w:tc>
        <w:tc>
          <w:tcPr>
            <w:tcW w:type="dxa" w:w="6192"/>
          </w:tcPr>
          <w:p>
            <w:pPr>
              <w:spacing w:after="60"/>
            </w:pPr>
            <w:r>
              <w:rPr>
                <w:rFonts w:ascii="Times New Roman" w:hAnsi="Times New Roman"/>
                <w:b w:val="0"/>
                <w:i w:val="0"/>
                <w:color w:val="0C0A09"/>
                <w:sz w:val="21"/>
              </w:rPr>
              <w:t>Suyothan Vijayapandi (Roll No: 23EC105)</w:t>
            </w:r>
          </w:p>
        </w:tc>
      </w:tr>
      <w:tr>
        <w:tc>
          <w:tcPr>
            <w:tcW w:type="dxa" w:w="3168"/>
          </w:tcPr>
          <w:p>
            <w:pPr>
              <w:spacing w:after="60"/>
            </w:pPr>
            <w:r>
              <w:rPr>
                <w:rFonts w:ascii="Arial" w:hAnsi="Arial"/>
                <w:b/>
                <w:i w:val="0"/>
                <w:color w:val="0C0A09"/>
                <w:sz w:val="21"/>
              </w:rPr>
              <w:t>Academic Department:</w:t>
            </w:r>
          </w:p>
        </w:tc>
        <w:tc>
          <w:tcPr>
            <w:tcW w:type="dxa" w:w="6192"/>
          </w:tcPr>
          <w:p>
            <w:pPr>
              <w:spacing w:after="60"/>
            </w:pPr>
            <w:r>
              <w:rPr>
                <w:rFonts w:ascii="Times New Roman" w:hAnsi="Times New Roman"/>
                <w:b w:val="0"/>
                <w:i w:val="0"/>
                <w:color w:val="0C0A09"/>
                <w:sz w:val="21"/>
              </w:rPr>
              <w:t>School of Electronics &amp; Communication Engineering (ECE)</w:t>
            </w:r>
          </w:p>
        </w:tc>
      </w:tr>
      <w:tr>
        <w:tc>
          <w:tcPr>
            <w:tcW w:type="dxa" w:w="3168"/>
          </w:tcPr>
          <w:p>
            <w:pPr>
              <w:spacing w:after="60"/>
            </w:pPr>
            <w:r>
              <w:rPr>
                <w:rFonts w:ascii="Arial" w:hAnsi="Arial"/>
                <w:b/>
                <w:i w:val="0"/>
                <w:color w:val="0C0A09"/>
                <w:sz w:val="21"/>
              </w:rPr>
              <w:t>Institution:</w:t>
            </w:r>
          </w:p>
        </w:tc>
        <w:tc>
          <w:tcPr>
            <w:tcW w:type="dxa" w:w="6192"/>
          </w:tcPr>
          <w:p>
            <w:pPr>
              <w:spacing w:after="60"/>
            </w:pPr>
            <w:r>
              <w:rPr>
                <w:rFonts w:ascii="Times New Roman" w:hAnsi="Times New Roman"/>
                <w:b w:val="0"/>
                <w:i w:val="0"/>
                <w:color w:val="0C0A09"/>
                <w:sz w:val="21"/>
              </w:rPr>
              <w:t>Dr. Vishwanath Karad MIT World Peace University (MIT-WPU), Pune</w:t>
            </w:r>
          </w:p>
        </w:tc>
      </w:tr>
      <w:tr>
        <w:tc>
          <w:tcPr>
            <w:tcW w:type="dxa" w:w="3168"/>
          </w:tcPr>
          <w:p>
            <w:pPr>
              <w:spacing w:after="60"/>
            </w:pPr>
            <w:r>
              <w:rPr>
                <w:rFonts w:ascii="Arial" w:hAnsi="Arial"/>
                <w:b/>
                <w:i w:val="0"/>
                <w:color w:val="0C0A09"/>
                <w:sz w:val="21"/>
              </w:rPr>
              <w:t>Faculty In-Charge:</w:t>
            </w:r>
          </w:p>
        </w:tc>
        <w:tc>
          <w:tcPr>
            <w:tcW w:type="dxa" w:w="6192"/>
          </w:tcPr>
          <w:p>
            <w:pPr>
              <w:spacing w:after="60"/>
            </w:pPr>
            <w:r>
              <w:rPr>
                <w:rFonts w:ascii="Times New Roman" w:hAnsi="Times New Roman"/>
                <w:b w:val="0"/>
                <w:i w:val="0"/>
                <w:color w:val="0C0A09"/>
                <w:sz w:val="21"/>
              </w:rPr>
              <w:t>Prof. Vinaya Gohokar</w:t>
            </w:r>
          </w:p>
        </w:tc>
      </w:tr>
    </w:tbl>
    <w:p>
      <w:r>
        <w:br w:type="page"/>
      </w:r>
    </w:p>
    <w:p>
      <w:pPr>
        <w:keepNext/>
        <w:spacing w:before="280" w:after="120"/>
      </w:pPr>
      <w:r>
        <w:rPr>
          <w:rFonts w:ascii="Arial" w:hAnsi="Arial"/>
          <w:b/>
          <w:i w:val="0"/>
          <w:color w:val="0C0A09"/>
          <w:sz w:val="36"/>
        </w:rPr>
        <w:t>1. Executive Summary &amp; Abstract</w:t>
      </w:r>
    </w:p>
    <w:p>
      <w:pPr>
        <w:spacing w:after="120" w:line="276" w:lineRule="auto"/>
        <w:jc w:val="both"/>
      </w:pPr>
      <w:r>
        <w:rPr>
          <w:rFonts w:ascii="Times New Roman" w:hAnsi="Times New Roman"/>
          <w:b w:val="0"/>
          <w:i w:val="0"/>
          <w:color w:val="0C0A09"/>
          <w:sz w:val="23"/>
        </w:rPr>
        <w:t>Campus facility management in expansive academic institutions often suffers from slow manual triage, inaccurate fault reporting, and lack of real-time hazard severity assessment. When students or staff notice hazardous anomalies—such as exposed 230V wiring under computer workbenches, ruptured HVAC chiller conduits, or laboratory equipment failures—verbal or paper complaints frequently face multi-day latency before licensed technicians are dispatched.</w:t>
      </w:r>
    </w:p>
    <w:p>
      <w:pPr>
        <w:spacing w:after="120" w:line="276" w:lineRule="auto"/>
        <w:jc w:val="both"/>
      </w:pPr>
      <w:r>
        <w:rPr>
          <w:rFonts w:ascii="Times New Roman" w:hAnsi="Times New Roman"/>
          <w:b w:val="0"/>
          <w:i w:val="0"/>
          <w:color w:val="0C0A09"/>
          <w:sz w:val="23"/>
        </w:rPr>
        <w:t>CampusAI addresses this institutional challenge by engineering a fully serverless, cloud-native multimodal diagnostic engine deployed on Google Cloud Platform (GCP). The application allows students at Dr. Vishwanath Karad MIT World Peace University (MIT-WPU) to capture photographic evidence across campus complexes (Dhruv, Jamdagni, Maitreyi, Chanakya, Vyasa, Vivekananda, Ganga, Gargi, and Vasisht). The ingested image is evaluated in sub-second latency by Google Gemini 2.5 Flash / Vertex AI Multimodal Computer Vision to classify the failure, assign OSHA-compliant severity ratings, recommend repair protocols, and stream live dispatch records to on-call technicians.</w:t>
      </w:r>
    </w:p>
    <w:p>
      <w:pPr>
        <w:keepNext/>
        <w:spacing w:before="280" w:after="120"/>
      </w:pPr>
      <w:r>
        <w:rPr>
          <w:rFonts w:ascii="Arial" w:hAnsi="Arial"/>
          <w:b/>
          <w:i w:val="0"/>
          <w:color w:val="0C0A09"/>
          <w:sz w:val="36"/>
        </w:rPr>
        <w:t>2. Cloud-Native 6-Service System Architecture</w:t>
      </w:r>
    </w:p>
    <w:p>
      <w:pPr>
        <w:spacing w:after="120" w:line="276" w:lineRule="auto"/>
        <w:jc w:val="both"/>
      </w:pPr>
      <w:r>
        <w:rPr>
          <w:rFonts w:ascii="Times New Roman" w:hAnsi="Times New Roman"/>
          <w:b w:val="0"/>
          <w:i w:val="0"/>
          <w:color w:val="0C0A09"/>
          <w:sz w:val="23"/>
        </w:rPr>
        <w:t>CampusAI leverages six complementary Google Cloud Platform services to form a decoupled, enterprise-grade architecture with zero idle compute costs (scale-to-zero model):</w:t>
      </w:r>
    </w:p>
    <w:tbl>
      <w:tblPr>
        <w:tblW w:type="auto" w:w="0"/>
        <w:jc w:val="center"/>
        <w:tblLook w:firstColumn="1" w:firstRow="1" w:lastColumn="0" w:lastRow="0" w:noHBand="0" w:noVBand="1" w:val="04A0"/>
      </w:tblPr>
      <w:tblGrid>
        <w:gridCol w:w="4680"/>
        <w:gridCol w:w="4680"/>
      </w:tblGrid>
      <w:tr>
        <w:tc>
          <w:tcPr>
            <w:tcW w:type="dxa" w:w="3168"/>
          </w:tcPr>
          <w:p>
            <w:r>
              <w:rPr>
                <w:b/>
              </w:rPr>
              <w:t>Google Cloud Service</w:t>
            </w:r>
          </w:p>
        </w:tc>
        <w:tc>
          <w:tcPr>
            <w:tcW w:type="dxa" w:w="6192"/>
          </w:tcPr>
          <w:p>
            <w:r>
              <w:rPr>
                <w:b/>
              </w:rPr>
              <w:t>Role in CampusAI Architecture</w:t>
            </w:r>
          </w:p>
        </w:tc>
      </w:tr>
      <w:tr>
        <w:tc>
          <w:tcPr>
            <w:tcW w:type="dxa" w:w="3168"/>
          </w:tcPr>
          <w:p>
            <w:pPr>
              <w:spacing w:after="40"/>
            </w:pPr>
            <w:r>
              <w:rPr>
                <w:rFonts w:ascii="Arial" w:hAnsi="Arial"/>
                <w:b/>
                <w:i w:val="0"/>
                <w:color w:val="0C0A09"/>
                <w:sz w:val="19"/>
              </w:rPr>
              <w:t>Google Cloud Run (Compute Tier)</w:t>
            </w:r>
          </w:p>
        </w:tc>
        <w:tc>
          <w:tcPr>
            <w:tcW w:type="dxa" w:w="6192"/>
          </w:tcPr>
          <w:p>
            <w:pPr>
              <w:spacing w:after="40"/>
            </w:pPr>
            <w:r>
              <w:rPr>
                <w:rFonts w:ascii="Times New Roman" w:hAnsi="Times New Roman"/>
                <w:b w:val="0"/>
                <w:i w:val="0"/>
                <w:color w:val="0C0A09"/>
                <w:sz w:val="19"/>
              </w:rPr>
              <w:t>Hosts the containerized FastAPI asynchronous backend. Scales automatically from 0 to 1,000+ instances during campus disaster spikes, guaranteeing low latency and 100% free tier idle execution.</w:t>
            </w:r>
          </w:p>
        </w:tc>
      </w:tr>
      <w:tr>
        <w:tc>
          <w:tcPr>
            <w:tcW w:type="dxa" w:w="3168"/>
          </w:tcPr>
          <w:p>
            <w:pPr>
              <w:spacing w:after="40"/>
            </w:pPr>
            <w:r>
              <w:rPr>
                <w:rFonts w:ascii="Arial" w:hAnsi="Arial"/>
                <w:b/>
                <w:i w:val="0"/>
                <w:color w:val="0C0A09"/>
                <w:sz w:val="19"/>
              </w:rPr>
              <w:t>Google Cloud Storage (Object Store)</w:t>
            </w:r>
          </w:p>
        </w:tc>
        <w:tc>
          <w:tcPr>
            <w:tcW w:type="dxa" w:w="6192"/>
          </w:tcPr>
          <w:p>
            <w:pPr>
              <w:spacing w:after="40"/>
            </w:pPr>
            <w:r>
              <w:rPr>
                <w:rFonts w:ascii="Times New Roman" w:hAnsi="Times New Roman"/>
                <w:b w:val="0"/>
                <w:i w:val="0"/>
                <w:color w:val="0C0A09"/>
                <w:sz w:val="19"/>
              </w:rPr>
              <w:t>Provides durable, geographically distributed bucket storage for raw image evidence uploaded by students, with pre-signed secure access.</w:t>
            </w:r>
          </w:p>
        </w:tc>
      </w:tr>
      <w:tr>
        <w:tc>
          <w:tcPr>
            <w:tcW w:type="dxa" w:w="3168"/>
          </w:tcPr>
          <w:p>
            <w:pPr>
              <w:spacing w:after="40"/>
            </w:pPr>
            <w:r>
              <w:rPr>
                <w:rFonts w:ascii="Arial" w:hAnsi="Arial"/>
                <w:b/>
                <w:i w:val="0"/>
                <w:color w:val="0C0A09"/>
                <w:sz w:val="19"/>
              </w:rPr>
              <w:t>Google Vertex AI / Gemini 2.5 Flash (AI Tier)</w:t>
            </w:r>
          </w:p>
        </w:tc>
        <w:tc>
          <w:tcPr>
            <w:tcW w:type="dxa" w:w="6192"/>
          </w:tcPr>
          <w:p>
            <w:pPr>
              <w:spacing w:after="40"/>
            </w:pPr>
            <w:r>
              <w:rPr>
                <w:rFonts w:ascii="Times New Roman" w:hAnsi="Times New Roman"/>
                <w:b w:val="0"/>
                <w:i w:val="0"/>
                <w:color w:val="0C0A09"/>
                <w:sz w:val="19"/>
              </w:rPr>
              <w:t>Executes multimodal visual reasoning over images and user descriptions, returning structured technical JSON with OSHA hazard flags, root cause diagnosis, and required technician skill levels.</w:t>
            </w:r>
          </w:p>
        </w:tc>
      </w:tr>
      <w:tr>
        <w:tc>
          <w:tcPr>
            <w:tcW w:type="dxa" w:w="3168"/>
          </w:tcPr>
          <w:p>
            <w:pPr>
              <w:spacing w:after="40"/>
            </w:pPr>
            <w:r>
              <w:rPr>
                <w:rFonts w:ascii="Arial" w:hAnsi="Arial"/>
                <w:b/>
                <w:i w:val="0"/>
                <w:color w:val="0C0A09"/>
                <w:sz w:val="19"/>
              </w:rPr>
              <w:t>Cloud Firestore (OLTP Database)</w:t>
            </w:r>
          </w:p>
        </w:tc>
        <w:tc>
          <w:tcPr>
            <w:tcW w:type="dxa" w:w="6192"/>
          </w:tcPr>
          <w:p>
            <w:pPr>
              <w:spacing w:after="40"/>
            </w:pPr>
            <w:r>
              <w:rPr>
                <w:rFonts w:ascii="Times New Roman" w:hAnsi="Times New Roman"/>
                <w:b w:val="0"/>
                <w:i w:val="0"/>
                <w:color w:val="0C0A09"/>
                <w:sz w:val="19"/>
              </w:rPr>
              <w:t>Serverless NoSQL document database maintaining live incident tickets, dispatch state transitions (Reported -&gt; Dispatched -&gt; In Repair -&gt; Resolved), and technician assignments.</w:t>
            </w:r>
          </w:p>
        </w:tc>
      </w:tr>
      <w:tr>
        <w:tc>
          <w:tcPr>
            <w:tcW w:type="dxa" w:w="3168"/>
          </w:tcPr>
          <w:p>
            <w:pPr>
              <w:spacing w:after="40"/>
            </w:pPr>
            <w:r>
              <w:rPr>
                <w:rFonts w:ascii="Arial" w:hAnsi="Arial"/>
                <w:b/>
                <w:i w:val="0"/>
                <w:color w:val="0C0A09"/>
                <w:sz w:val="19"/>
              </w:rPr>
              <w:t>Google BigQuery (OLAP Data Warehouse)</w:t>
            </w:r>
          </w:p>
        </w:tc>
        <w:tc>
          <w:tcPr>
            <w:tcW w:type="dxa" w:w="6192"/>
          </w:tcPr>
          <w:p>
            <w:pPr>
              <w:spacing w:after="40"/>
            </w:pPr>
            <w:r>
              <w:rPr>
                <w:rFonts w:ascii="Times New Roman" w:hAnsi="Times New Roman"/>
                <w:b w:val="0"/>
                <w:i w:val="0"/>
                <w:color w:val="0C0A09"/>
                <w:sz w:val="19"/>
              </w:rPr>
              <w:t>Petabyte-scale analytics engine calculating institutional maintenance velocity, Mean Time to Resolution (MTTR), and hazard density across campus buildings.</w:t>
            </w:r>
          </w:p>
        </w:tc>
      </w:tr>
      <w:tr>
        <w:tc>
          <w:tcPr>
            <w:tcW w:type="dxa" w:w="3168"/>
          </w:tcPr>
          <w:p>
            <w:pPr>
              <w:spacing w:after="40"/>
            </w:pPr>
            <w:r>
              <w:rPr>
                <w:rFonts w:ascii="Arial" w:hAnsi="Arial"/>
                <w:b/>
                <w:i w:val="0"/>
                <w:color w:val="0C0A09"/>
                <w:sz w:val="19"/>
              </w:rPr>
              <w:t>Google Looker Studio (BI Reporting)</w:t>
            </w:r>
          </w:p>
        </w:tc>
        <w:tc>
          <w:tcPr>
            <w:tcW w:type="dxa" w:w="6192"/>
          </w:tcPr>
          <w:p>
            <w:pPr>
              <w:spacing w:after="40"/>
            </w:pPr>
            <w:r>
              <w:rPr>
                <w:rFonts w:ascii="Times New Roman" w:hAnsi="Times New Roman"/>
                <w:b w:val="0"/>
                <w:i w:val="0"/>
                <w:color w:val="0C0A09"/>
                <w:sz w:val="19"/>
              </w:rPr>
              <w:t>Interactive executive business intelligence dashboard directly connected to BigQuery tables, offering live data filtering for campus administration.</w:t>
            </w:r>
          </w:p>
        </w:tc>
      </w:tr>
    </w:tbl>
    <w:p>
      <w:pPr>
        <w:spacing w:after="160"/>
      </w:pPr>
    </w:p>
    <w:p>
      <w:pPr>
        <w:keepNext/>
        <w:spacing w:before="280" w:after="120"/>
      </w:pPr>
      <w:r>
        <w:rPr>
          <w:rFonts w:ascii="Arial" w:hAnsi="Arial"/>
          <w:b/>
          <w:i w:val="0"/>
          <w:color w:val="0C0A09"/>
          <w:sz w:val="36"/>
        </w:rPr>
        <w:t>3. Multimodal Computer Vision Diagnostic Pipeline</w:t>
      </w:r>
    </w:p>
    <w:p>
      <w:pPr>
        <w:spacing w:after="120" w:line="276" w:lineRule="auto"/>
        <w:jc w:val="both"/>
      </w:pPr>
      <w:r>
        <w:rPr>
          <w:rFonts w:ascii="Times New Roman" w:hAnsi="Times New Roman"/>
          <w:b w:val="0"/>
          <w:i w:val="0"/>
          <w:color w:val="0C0A09"/>
          <w:sz w:val="23"/>
        </w:rPr>
        <w:t>The core innovation of CampusAI is automated multimodal facility inspection. When an incident photo (JPG, PNG, or WebP) is submitted, the backend streams the image payload encoded as base64 to Google's generative language API using gemini-2.5-flash.</w:t>
      </w:r>
    </w:p>
    <w:p>
      <w:pPr>
        <w:spacing w:after="120" w:line="276" w:lineRule="auto"/>
        <w:jc w:val="both"/>
      </w:pPr>
      <w:r>
        <w:rPr>
          <w:rFonts w:ascii="Times New Roman" w:hAnsi="Times New Roman"/>
          <w:b w:val="0"/>
          <w:i w:val="0"/>
          <w:color w:val="0C0A09"/>
          <w:sz w:val="23"/>
        </w:rPr>
        <w:t>The system enforces strict structured JSON outputs from the LLM, populating the following operational fields:</w:t>
      </w:r>
    </w:p>
    <w:p>
      <w:pPr>
        <w:pStyle w:val="ListBullet"/>
        <w:spacing w:after="60"/>
      </w:pPr>
      <w:r>
        <w:rPr>
          <w:rFonts w:ascii="Times New Roman" w:hAnsi="Times New Roman"/>
          <w:b w:val="0"/>
          <w:i w:val="0"/>
          <w:color w:val="0C0A09"/>
          <w:sz w:val="22"/>
        </w:rPr>
        <w:t>Category Classification: Electrical, Civil &amp; Plumbing, IT Infrastructure, Lab Equipment, or Sanitation.</w:t>
      </w:r>
    </w:p>
    <w:p>
      <w:pPr>
        <w:pStyle w:val="ListBullet"/>
        <w:spacing w:after="60"/>
      </w:pPr>
      <w:r>
        <w:rPr>
          <w:rFonts w:ascii="Times New Roman" w:hAnsi="Times New Roman"/>
          <w:b w:val="0"/>
          <w:i w:val="0"/>
          <w:color w:val="0C0A09"/>
          <w:sz w:val="22"/>
        </w:rPr>
        <w:t>OSHA Severity Rating: Critical (Priority 1), High (Priority 2), Moderate (Priority 3), or Low (Priority 4).</w:t>
      </w:r>
    </w:p>
    <w:p>
      <w:pPr>
        <w:pStyle w:val="ListBullet"/>
        <w:spacing w:after="60"/>
      </w:pPr>
      <w:r>
        <w:rPr>
          <w:rFonts w:ascii="Times New Roman" w:hAnsi="Times New Roman"/>
          <w:b w:val="0"/>
          <w:i w:val="0"/>
          <w:color w:val="0C0A09"/>
          <w:sz w:val="22"/>
        </w:rPr>
        <w:t>Hazard Flagging: Detects shock risks, structural water ingress, toxic fume generation, or slip hazards.</w:t>
      </w:r>
    </w:p>
    <w:p>
      <w:pPr>
        <w:pStyle w:val="ListBullet"/>
        <w:spacing w:after="60"/>
      </w:pPr>
      <w:r>
        <w:rPr>
          <w:rFonts w:ascii="Times New Roman" w:hAnsi="Times New Roman"/>
          <w:b w:val="0"/>
          <w:i w:val="0"/>
          <w:color w:val="0C0A09"/>
          <w:sz w:val="22"/>
        </w:rPr>
        <w:t>Technical Diagnosis: Precise electrical, civil, or mechanical engineering observations.</w:t>
      </w:r>
    </w:p>
    <w:p>
      <w:pPr>
        <w:pStyle w:val="ListBullet"/>
        <w:spacing w:after="60"/>
      </w:pPr>
      <w:r>
        <w:rPr>
          <w:rFonts w:ascii="Times New Roman" w:hAnsi="Times New Roman"/>
          <w:b w:val="0"/>
          <w:i w:val="0"/>
          <w:color w:val="0C0A09"/>
          <w:sz w:val="22"/>
        </w:rPr>
        <w:t>Protocol &amp; Protocol Instructions: Specific containment protocols (e.g. 'De-energize sub-panel DB-04, replace with 4mm² flame-retardant cable').</w:t>
      </w:r>
    </w:p>
    <w:p>
      <w:pPr>
        <w:pStyle w:val="ListBullet"/>
        <w:spacing w:after="60"/>
      </w:pPr>
      <w:r>
        <w:rPr>
          <w:rFonts w:ascii="Times New Roman" w:hAnsi="Times New Roman"/>
          <w:b w:val="0"/>
          <w:i w:val="0"/>
          <w:color w:val="0C0A09"/>
          <w:sz w:val="22"/>
        </w:rPr>
        <w:t>Estimated Repair Duration: Quantitative hours required to complete resolution for workload balancing.</w:t>
      </w:r>
    </w:p>
    <w:p>
      <w:pPr>
        <w:keepNext/>
        <w:spacing w:before="280" w:after="120"/>
      </w:pPr>
      <w:r>
        <w:rPr>
          <w:rFonts w:ascii="Arial" w:hAnsi="Arial"/>
          <w:b/>
          <w:i w:val="0"/>
          <w:color w:val="0C0A09"/>
          <w:sz w:val="36"/>
        </w:rPr>
        <w:t>4. BigQuery Schema &amp; Analytical Aggregations</w:t>
      </w:r>
    </w:p>
    <w:p>
      <w:pPr>
        <w:spacing w:after="120" w:line="276" w:lineRule="auto"/>
        <w:jc w:val="both"/>
      </w:pPr>
      <w:r>
        <w:rPr>
          <w:rFonts w:ascii="Times New Roman" w:hAnsi="Times New Roman"/>
          <w:b w:val="0"/>
          <w:i w:val="0"/>
          <w:color w:val="0C0A09"/>
          <w:sz w:val="23"/>
        </w:rPr>
        <w:t>To support executive analytics and administrative oversight, incident documents are partitioned into Google BigQuery under dataset `campus_ai_analytics` and table `incidents`. Below is the Data Definition Language (DDL) schema deployed:</w:t>
      </w:r>
    </w:p>
    <w:p>
      <w:pPr>
        <w:spacing w:before="80" w:after="120"/>
        <w:ind w:left="576"/>
      </w:pPr>
      <w:r>
        <w:rPr>
          <w:rFonts w:ascii="Courier New" w:hAnsi="Courier New"/>
          <w:b w:val="0"/>
          <w:i w:val="0"/>
          <w:color w:val="0C0A09"/>
          <w:sz w:val="19"/>
        </w:rPr>
        <w:t>CREATE TABLE IF NOT EXISTS `college-events-cc.campus_ai_analytics.incidents` (</w:t>
        <w:br/>
        <w:t xml:space="preserve">    incident_id STRING NOT NULL,</w:t>
        <w:br/>
        <w:t xml:space="preserve">    timestamp TIMESTAMP NOT NULL,</w:t>
        <w:br/>
        <w:t xml:space="preserve">    student_name STRING,</w:t>
        <w:br/>
        <w:t xml:space="preserve">    roll_no STRING,</w:t>
        <w:br/>
        <w:t xml:space="preserve">    department STRING,</w:t>
        <w:br/>
        <w:t xml:space="preserve">    building STRING,</w:t>
        <w:br/>
        <w:t xml:space="preserve">    room STRING,</w:t>
        <w:br/>
        <w:t xml:space="preserve">    title STRING,</w:t>
        <w:br/>
        <w:t xml:space="preserve">    category STRING,</w:t>
        <w:br/>
        <w:t xml:space="preserve">    severity STRING,</w:t>
        <w:br/>
        <w:t xml:space="preserve">    hazard_detected BOOLEAN,</w:t>
        <w:br/>
        <w:t xml:space="preserve">    hazard_type STRING,</w:t>
        <w:br/>
        <w:t xml:space="preserve">    status STRING,</w:t>
        <w:br/>
        <w:t xml:space="preserve">    assigned_technician STRING,</w:t>
        <w:br/>
        <w:t xml:space="preserve">    confidence_score INT64,</w:t>
        <w:br/>
        <w:t xml:space="preserve">    repair_hours FLOAT64,</w:t>
        <w:br/>
        <w:t xml:space="preserve">    resolved_at TIMESTAMP</w:t>
        <w:br/>
        <w:t>)</w:t>
        <w:br/>
        <w:t>PARTITION BY DATE(timestamp)</w:t>
        <w:br/>
        <w:t>CLUSTER BY building, category, severity;</w:t>
      </w:r>
    </w:p>
    <w:p>
      <w:pPr>
        <w:spacing w:after="120" w:line="276" w:lineRule="auto"/>
        <w:jc w:val="both"/>
      </w:pPr>
      <w:r>
        <w:rPr>
          <w:rFonts w:ascii="Times New Roman" w:hAnsi="Times New Roman"/>
          <w:b w:val="0"/>
          <w:i w:val="0"/>
          <w:color w:val="0C0A09"/>
          <w:sz w:val="23"/>
        </w:rPr>
        <w:t>BigQuery allows campus facility managers to run sub-second queries calculating Mean Time to Resolution (MTTR):</w:t>
      </w:r>
    </w:p>
    <w:p>
      <w:pPr>
        <w:spacing w:before="80" w:after="160"/>
        <w:ind w:left="576"/>
      </w:pPr>
      <w:r>
        <w:rPr>
          <w:rFonts w:ascii="Courier New" w:hAnsi="Courier New"/>
          <w:b w:val="0"/>
          <w:i w:val="0"/>
          <w:color w:val="0C0A09"/>
          <w:sz w:val="19"/>
        </w:rPr>
        <w:t xml:space="preserve">SELECT building, category, </w:t>
        <w:br/>
        <w:t xml:space="preserve">       COUNT(*) as total_faults,</w:t>
        <w:br/>
        <w:t xml:space="preserve">       ROUND(AVG(TIMESTAMP_DIFF(resolved_at, timestamp, MINUTE) / 60.0), 2) as avg_mttr_hours</w:t>
        <w:br/>
        <w:t>FROM `college-events-cc.campus_ai_analytics.incidents`</w:t>
        <w:br/>
        <w:t>WHERE status = 'Resolved'</w:t>
        <w:br/>
        <w:t>GROUP BY building, category</w:t>
        <w:br/>
        <w:t>ORDER BY avg_mttr_hours DESC;</w:t>
      </w:r>
    </w:p>
    <w:p>
      <w:pPr>
        <w:keepNext/>
        <w:spacing w:before="280" w:after="120"/>
      </w:pPr>
      <w:r>
        <w:rPr>
          <w:rFonts w:ascii="Arial" w:hAnsi="Arial"/>
          <w:b/>
          <w:i w:val="0"/>
          <w:color w:val="0C0A09"/>
          <w:sz w:val="36"/>
        </w:rPr>
        <w:t>5. Design System: ElevenLabs Editorial Standards</w:t>
      </w:r>
    </w:p>
    <w:p>
      <w:pPr>
        <w:spacing w:after="120" w:line="276" w:lineRule="auto"/>
        <w:jc w:val="both"/>
      </w:pPr>
      <w:r>
        <w:rPr>
          <w:rFonts w:ascii="Times New Roman" w:hAnsi="Times New Roman"/>
          <w:b w:val="0"/>
          <w:i w:val="0"/>
          <w:color w:val="0C0A09"/>
          <w:sz w:val="23"/>
        </w:rPr>
        <w:t>In accordance with modern web engineering standards, the user interface was designed using the official ElevenLabs Design System (extracted via `npx getdesign add elevenlabs`).</w:t>
      </w:r>
    </w:p>
    <w:p>
      <w:pPr>
        <w:spacing w:after="120" w:line="276" w:lineRule="auto"/>
        <w:jc w:val="both"/>
      </w:pPr>
      <w:r>
        <w:rPr>
          <w:rFonts w:ascii="Times New Roman" w:hAnsi="Times New Roman"/>
          <w:b w:val="0"/>
          <w:i w:val="0"/>
          <w:color w:val="0C0A09"/>
          <w:sz w:val="23"/>
        </w:rPr>
        <w:t>Key characteristics implemented include:</w:t>
      </w:r>
    </w:p>
    <w:p>
      <w:pPr>
        <w:pStyle w:val="ListBullet"/>
        <w:spacing w:after="60"/>
      </w:pPr>
      <w:r>
        <w:rPr>
          <w:rFonts w:ascii="Times New Roman" w:hAnsi="Times New Roman"/>
          <w:b w:val="0"/>
          <w:i w:val="0"/>
          <w:color w:val="0C0A09"/>
          <w:sz w:val="22"/>
        </w:rPr>
        <w:t>Default Light Canvas (#f6f6f5): Clean off-white editorial surface paired with warm near-black ink (#0c0a09) and pure white floating cards (#ffffff).</w:t>
      </w:r>
    </w:p>
    <w:p>
      <w:pPr>
        <w:pStyle w:val="ListBullet"/>
        <w:spacing w:after="60"/>
      </w:pPr>
      <w:r>
        <w:rPr>
          <w:rFonts w:ascii="Times New Roman" w:hAnsi="Times New Roman"/>
          <w:b w:val="0"/>
          <w:i w:val="0"/>
          <w:color w:val="0C0A09"/>
          <w:sz w:val="22"/>
        </w:rPr>
        <w:t>Editorial Display Typography: High-elegance EB Garamond display serif at weight 400 with negative tracking (-0.025em), paired with clean Inter body font.</w:t>
      </w:r>
    </w:p>
    <w:p>
      <w:pPr>
        <w:pStyle w:val="ListBullet"/>
        <w:spacing w:after="60"/>
      </w:pPr>
      <w:r>
        <w:rPr>
          <w:rFonts w:ascii="Times New Roman" w:hAnsi="Times New Roman"/>
          <w:b w:val="0"/>
          <w:i w:val="0"/>
          <w:color w:val="0C0A09"/>
          <w:sz w:val="22"/>
        </w:rPr>
        <w:t>Atmospheric Pastel Blooms: Subtle radial gradient ambient orbs (mint #86efac, lavender #c4b5fd, peach #fdba74) providing visual depth without loud saturated neon colors.</w:t>
      </w:r>
    </w:p>
    <w:p>
      <w:pPr>
        <w:pStyle w:val="ListBullet"/>
        <w:spacing w:after="60"/>
      </w:pPr>
      <w:r>
        <w:rPr>
          <w:rFonts w:ascii="Times New Roman" w:hAnsi="Times New Roman"/>
          <w:b w:val="0"/>
          <w:i w:val="0"/>
          <w:color w:val="0C0A09"/>
          <w:sz w:val="22"/>
        </w:rPr>
        <w:t>Signature Pill Components: Tactile pill buttons (border-radius: 9999px) with dark primary ink and outline secondaries.</w:t>
      </w:r>
    </w:p>
    <w:p>
      <w:pPr>
        <w:pStyle w:val="ListBullet"/>
        <w:spacing w:after="60"/>
      </w:pPr>
      <w:r>
        <w:rPr>
          <w:rFonts w:ascii="Times New Roman" w:hAnsi="Times New Roman"/>
          <w:b w:val="0"/>
          <w:i w:val="0"/>
          <w:color w:val="0C0A09"/>
          <w:sz w:val="22"/>
        </w:rPr>
        <w:t>MIT-WPU Institutional Branding: Official high-resolution university dome logo integrated into the top navigation bar at 52px height.</w:t>
      </w:r>
    </w:p>
    <w:p>
      <w:pPr>
        <w:keepNext/>
        <w:spacing w:before="280" w:after="120"/>
      </w:pPr>
      <w:r>
        <w:rPr>
          <w:rFonts w:ascii="Arial" w:hAnsi="Arial"/>
          <w:b/>
          <w:i w:val="0"/>
          <w:color w:val="0C0A09"/>
          <w:sz w:val="36"/>
        </w:rPr>
        <w:t>6. Public Verification &amp; Deployment Links</w:t>
      </w:r>
    </w:p>
    <w:p>
      <w:pPr>
        <w:spacing w:after="120" w:line="276" w:lineRule="auto"/>
        <w:jc w:val="both"/>
      </w:pPr>
      <w:r>
        <w:rPr>
          <w:rFonts w:ascii="Times New Roman" w:hAnsi="Times New Roman"/>
          <w:b w:val="0"/>
          <w:i w:val="0"/>
          <w:color w:val="0C0A09"/>
          <w:sz w:val="23"/>
        </w:rPr>
        <w:t>The source code and cloud configuration scripts have been published as an open-source repository on GitHub:</w:t>
      </w:r>
    </w:p>
    <w:p>
      <w:pPr>
        <w:spacing w:after="60"/>
      </w:pPr>
      <w:r>
        <w:rPr>
          <w:rFonts w:ascii="Arial" w:hAnsi="Arial"/>
          <w:b/>
          <w:i w:val="0"/>
          <w:color w:val="0C0A09"/>
          <w:sz w:val="21"/>
        </w:rPr>
        <w:t xml:space="preserve">GitHub Repository: </w:t>
      </w:r>
      <w:r>
        <w:rPr>
          <w:rFonts w:ascii="Courier New" w:hAnsi="Courier New"/>
          <w:b w:val="0"/>
          <w:i w:val="0"/>
          <w:color w:val="4285F4"/>
          <w:sz w:val="20"/>
        </w:rPr>
        <w:t>https://github.com/suyothan/campus-ai-incident-system</w:t>
      </w:r>
    </w:p>
    <w:p>
      <w:pPr>
        <w:spacing w:after="60"/>
      </w:pPr>
      <w:r>
        <w:rPr>
          <w:rFonts w:ascii="Arial" w:hAnsi="Arial"/>
          <w:b/>
          <w:i w:val="0"/>
          <w:color w:val="0C0A09"/>
          <w:sz w:val="21"/>
        </w:rPr>
        <w:t xml:space="preserve">GCP Cloud Run Service: </w:t>
      </w:r>
      <w:r>
        <w:rPr>
          <w:rFonts w:ascii="Courier New" w:hAnsi="Courier New"/>
          <w:b w:val="0"/>
          <w:i w:val="0"/>
          <w:color w:val="4285F4"/>
          <w:sz w:val="20"/>
        </w:rPr>
        <w:t>campus-ai-system (Deployed via Cloud Shell)</w:t>
      </w:r>
    </w:p>
    <w:p>
      <w:pPr>
        <w:spacing w:after="60"/>
      </w:pPr>
      <w:r>
        <w:rPr>
          <w:rFonts w:ascii="Arial" w:hAnsi="Arial"/>
          <w:b/>
          <w:i w:val="0"/>
          <w:color w:val="0C0A09"/>
          <w:sz w:val="21"/>
        </w:rPr>
        <w:t xml:space="preserve">Target GCP Project: </w:t>
      </w:r>
      <w:r>
        <w:rPr>
          <w:rFonts w:ascii="Courier New" w:hAnsi="Courier New"/>
          <w:b w:val="0"/>
          <w:i w:val="0"/>
          <w:color w:val="4285F4"/>
          <w:sz w:val="20"/>
        </w:rPr>
        <w:t>college-events-cc (Region: us-central1)</w:t>
      </w:r>
    </w:p>
    <w:p>
      <w:pPr>
        <w:spacing w:after="60"/>
      </w:pPr>
      <w:r>
        <w:rPr>
          <w:rFonts w:ascii="Arial" w:hAnsi="Arial"/>
          <w:b/>
          <w:i w:val="0"/>
          <w:color w:val="0C0A09"/>
          <w:sz w:val="21"/>
        </w:rPr>
        <w:t xml:space="preserve">Multimodal AI Model: </w:t>
      </w:r>
      <w:r>
        <w:rPr>
          <w:rFonts w:ascii="Courier New" w:hAnsi="Courier New"/>
          <w:b w:val="0"/>
          <w:i w:val="0"/>
          <w:color w:val="4285F4"/>
          <w:sz w:val="20"/>
        </w:rPr>
        <w:t>Google Gemini 2.5 Flash (models/gemini-2.5-flash)</w:t>
      </w:r>
    </w:p>
    <w:p>
      <w:pPr>
        <w:keepNext/>
        <w:spacing w:before="280" w:after="120"/>
      </w:pPr>
      <w:r>
        <w:rPr>
          <w:rFonts w:ascii="Arial" w:hAnsi="Arial"/>
          <w:b/>
          <w:i w:val="0"/>
          <w:color w:val="0C0A09"/>
          <w:sz w:val="36"/>
        </w:rPr>
        <w:t>7. Educational Outcome &amp; Conclusion</w:t>
      </w:r>
    </w:p>
    <w:p>
      <w:pPr>
        <w:spacing w:after="120" w:line="276" w:lineRule="auto"/>
        <w:jc w:val="both"/>
      </w:pPr>
      <w:r>
        <w:rPr>
          <w:rFonts w:ascii="Times New Roman" w:hAnsi="Times New Roman"/>
          <w:b w:val="0"/>
          <w:i w:val="0"/>
          <w:color w:val="0C0A09"/>
          <w:sz w:val="23"/>
        </w:rPr>
        <w:t>CampusAI successfully demonstrates how serverless containerization (Cloud Run), multimodal artificial intelligence (Gemini 2.5), operational document stores (Firestore), and analytical data warehouses (BigQuery) can be united into a cost-effective, zero-maintenance university management solution. By eliminating traditional server provisioning and relying entirely on event-driven cloud primitives, the entire campus facility diagnostic pipeline operates reliably within the Google Cloud Free Tier.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