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星渊科技加班与调休管理制度</w:t>
      </w:r>
    </w:p>
    <w:p>
      <w:pPr>
        <w:pStyle w:val="Heading2"/>
      </w:pPr>
      <w:r>
        <w:t>一、加班类型</w:t>
      </w:r>
    </w:p>
    <w:p>
      <w:r>
        <w:t>1. 工作日加班需主管确认。</w:t>
      </w:r>
    </w:p>
    <w:p>
      <w:r>
        <w:t>2. 休息日加班优先调休。</w:t>
      </w:r>
    </w:p>
    <w:p>
      <w:r>
        <w:t>3. 法定节假日加班按 300% 支付。</w:t>
      </w:r>
    </w:p>
    <w:p>
      <w:pPr>
        <w:pStyle w:val="Heading2"/>
      </w:pPr>
      <w:r>
        <w:t>二、调休规则</w:t>
      </w:r>
    </w:p>
    <w:p>
      <w:r>
        <w:t>1. 工作日加班 2 小时以下折算 1 小时调休。</w:t>
      </w:r>
    </w:p>
    <w:p>
      <w:r>
        <w:t>2. 超过 2 小时按实际折算。</w:t>
      </w:r>
    </w:p>
    <w:p>
      <w:r>
        <w:t>3. 休息日 1:1 调休。</w:t>
      </w:r>
    </w:p>
    <w:p>
      <w:r>
        <w:t>4. 90 天内使用，过期作废。</w:t>
      </w:r>
    </w:p>
    <w:p>
      <w:pPr>
        <w:pStyle w:val="Heading2"/>
      </w:pPr>
      <w:r>
        <w:t>三、申请流程</w:t>
      </w:r>
    </w:p>
    <w:p>
      <w:r>
        <w:t>1. 提前提交加班申请。</w:t>
      </w:r>
    </w:p>
    <w:p>
      <w:r>
        <w:t>2. 调休需标注加班编号。</w:t>
      </w:r>
    </w:p>
    <w:p>
      <w:r>
        <w:t>3. 人力更新调休余额。</w:t>
      </w:r>
    </w:p>
    <w:p>
      <w:pPr>
        <w:pStyle w:val="Heading2"/>
      </w:pPr>
      <w:r>
        <w:t>四、例外情况</w:t>
      </w:r>
    </w:p>
    <w:p>
      <w:r>
        <w:t>1. 特殊情况可申请延长 30 天。</w:t>
      </w:r>
    </w:p>
    <w:p>
      <w:r>
        <w:t>2. 未批准加班不计调休。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