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38FA" w:rsidRDefault="009038FA">
      <w:pPr>
        <w:spacing w:before="40" w:after="40"/>
        <w:jc w:val="both"/>
      </w:pPr>
      <w:bookmarkStart w:id="0" w:name="_GoBack"/>
      <w:bookmarkEnd w:id="0"/>
    </w:p>
    <w:p w:rsidR="009038FA" w:rsidRDefault="009038FA">
      <w:pPr>
        <w:spacing w:before="40" w:after="40"/>
        <w:jc w:val="both"/>
      </w:pPr>
    </w:p>
    <w:p w:rsidR="009038FA" w:rsidRDefault="009038FA">
      <w:pPr>
        <w:spacing w:before="40" w:after="40"/>
        <w:jc w:val="both"/>
      </w:pPr>
    </w:p>
    <w:p w:rsidR="009038FA" w:rsidRDefault="00193907">
      <w:pPr>
        <w:pBdr>
          <w:bottom w:val="single" w:sz="2" w:space="4" w:color="CCCCCC"/>
        </w:pBdr>
        <w:spacing w:after="120"/>
        <w:jc w:val="center"/>
      </w:pPr>
      <w:r>
        <w:rPr>
          <w:b/>
          <w:bCs/>
          <w:color w:val="1F3864"/>
          <w:sz w:val="22"/>
          <w:szCs w:val="22"/>
        </w:rPr>
        <w:t>Dr. D. Y. Patil Vidyapeeth, Centre For Online Learning, Pune</w:t>
      </w:r>
    </w:p>
    <w:p w:rsidR="009038FA" w:rsidRDefault="009038FA">
      <w:pPr>
        <w:spacing w:before="40" w:after="40"/>
        <w:jc w:val="both"/>
      </w:pPr>
    </w:p>
    <w:p w:rsidR="009038FA" w:rsidRDefault="009038FA">
      <w:pPr>
        <w:spacing w:before="40" w:after="40"/>
        <w:jc w:val="both"/>
      </w:pPr>
    </w:p>
    <w:p w:rsidR="009038FA" w:rsidRDefault="00193907">
      <w:pPr>
        <w:pBdr>
          <w:top w:val="single" w:sz="6" w:space="4" w:color="2E5090"/>
          <w:bottom w:val="single" w:sz="6" w:space="4" w:color="2E5090"/>
        </w:pBdr>
        <w:spacing w:before="80" w:after="80"/>
        <w:jc w:val="center"/>
      </w:pPr>
      <w:r>
        <w:rPr>
          <w:b/>
          <w:bCs/>
          <w:color w:val="1F3864"/>
          <w:sz w:val="28"/>
          <w:szCs w:val="28"/>
        </w:rPr>
        <w:t>Innovation of Financial Services:</w:t>
      </w:r>
    </w:p>
    <w:p w:rsidR="009038FA" w:rsidRDefault="00193907">
      <w:pPr>
        <w:spacing w:before="60" w:after="60"/>
        <w:jc w:val="center"/>
      </w:pPr>
      <w:r>
        <w:rPr>
          <w:b/>
          <w:bCs/>
          <w:color w:val="1F3864"/>
          <w:sz w:val="28"/>
          <w:szCs w:val="28"/>
        </w:rPr>
        <w:t>Navigating the Future of Banking and Investment</w:t>
      </w:r>
    </w:p>
    <w:p w:rsidR="009038FA" w:rsidRDefault="00193907">
      <w:pPr>
        <w:spacing w:before="60" w:after="60"/>
        <w:jc w:val="center"/>
      </w:pPr>
      <w:r>
        <w:rPr>
          <w:b/>
          <w:bCs/>
          <w:color w:val="2E5090"/>
          <w:sz w:val="26"/>
          <w:szCs w:val="26"/>
        </w:rPr>
        <w:t>A Case Study on Razorpay</w:t>
      </w:r>
    </w:p>
    <w:p w:rsidR="009038FA" w:rsidRDefault="009038FA">
      <w:pPr>
        <w:spacing w:before="40" w:after="40"/>
        <w:jc w:val="both"/>
      </w:pPr>
    </w:p>
    <w:p w:rsidR="009038FA" w:rsidRDefault="00193907">
      <w:pPr>
        <w:spacing w:before="60" w:after="60"/>
        <w:jc w:val="center"/>
      </w:pPr>
      <w:r>
        <w:rPr>
          <w:color w:val="555555"/>
        </w:rPr>
        <w:t>Project Proposal Submitted</w:t>
      </w:r>
    </w:p>
    <w:p w:rsidR="009038FA" w:rsidRDefault="00193907">
      <w:pPr>
        <w:spacing w:before="60" w:after="60"/>
        <w:jc w:val="center"/>
      </w:pPr>
      <w:r>
        <w:rPr>
          <w:color w:val="555555"/>
        </w:rPr>
        <w:t>To</w:t>
      </w:r>
    </w:p>
    <w:p w:rsidR="009038FA" w:rsidRDefault="009038FA">
      <w:pPr>
        <w:spacing w:before="40" w:after="40"/>
        <w:jc w:val="both"/>
      </w:pPr>
    </w:p>
    <w:p w:rsidR="009038FA" w:rsidRDefault="00193907">
      <w:pPr>
        <w:spacing w:before="60" w:after="60"/>
        <w:jc w:val="center"/>
      </w:pPr>
      <w:r>
        <w:rPr>
          <w:b/>
          <w:bCs/>
          <w:color w:val="1F3864"/>
        </w:rPr>
        <w:t>Dr. D. Y. Patil Vidyapeeth, Centre For Online Learning, Pune</w:t>
      </w:r>
    </w:p>
    <w:p w:rsidR="009038FA" w:rsidRDefault="009038FA">
      <w:pPr>
        <w:spacing w:before="40" w:after="40"/>
        <w:jc w:val="both"/>
      </w:pPr>
    </w:p>
    <w:p w:rsidR="009038FA" w:rsidRDefault="00193907">
      <w:pPr>
        <w:spacing w:before="60" w:after="60"/>
        <w:jc w:val="center"/>
      </w:pPr>
      <w:r>
        <w:rPr>
          <w:b/>
          <w:bCs/>
        </w:rPr>
        <w:t>BY</w:t>
      </w:r>
    </w:p>
    <w:p w:rsidR="009038FA" w:rsidRDefault="009038FA">
      <w:pPr>
        <w:spacing w:before="40" w:after="40"/>
        <w:jc w:val="both"/>
      </w:pPr>
    </w:p>
    <w:p w:rsidR="009038FA" w:rsidRDefault="00193907">
      <w:pPr>
        <w:spacing w:before="40" w:after="40"/>
        <w:jc w:val="center"/>
      </w:pPr>
      <w:r>
        <w:rPr>
          <w:b/>
          <w:bCs/>
        </w:rPr>
        <w:t xml:space="preserve">Student Name:  </w:t>
      </w:r>
      <w:r>
        <w:t>[ Student Name ]</w:t>
      </w:r>
    </w:p>
    <w:p w:rsidR="009038FA" w:rsidRDefault="00193907">
      <w:pPr>
        <w:spacing w:before="40" w:after="40"/>
        <w:jc w:val="center"/>
      </w:pPr>
      <w:r>
        <w:rPr>
          <w:b/>
          <w:bCs/>
        </w:rPr>
        <w:t xml:space="preserve">ERP ID:  </w:t>
      </w:r>
      <w:r>
        <w:t>[ ERP ID ]</w:t>
      </w:r>
    </w:p>
    <w:p w:rsidR="009038FA" w:rsidRDefault="00193907">
      <w:pPr>
        <w:spacing w:before="40" w:after="40"/>
        <w:jc w:val="center"/>
      </w:pPr>
      <w:r>
        <w:rPr>
          <w:b/>
          <w:bCs/>
        </w:rPr>
        <w:t xml:space="preserve">PRN No.:  </w:t>
      </w:r>
      <w:r>
        <w:t>[ PRN No. ]</w:t>
      </w:r>
    </w:p>
    <w:p w:rsidR="009038FA" w:rsidRDefault="009038FA">
      <w:pPr>
        <w:spacing w:before="40" w:after="40"/>
        <w:jc w:val="both"/>
      </w:pPr>
    </w:p>
    <w:p w:rsidR="009038FA" w:rsidRDefault="00193907">
      <w:pPr>
        <w:spacing w:before="60" w:after="60"/>
        <w:jc w:val="center"/>
      </w:pPr>
      <w:r>
        <w:rPr>
          <w:b/>
          <w:bCs/>
        </w:rPr>
        <w:t>Specialization</w:t>
      </w:r>
    </w:p>
    <w:p w:rsidR="009038FA" w:rsidRDefault="00193907">
      <w:pPr>
        <w:spacing w:before="60" w:after="60"/>
        <w:jc w:val="center"/>
      </w:pPr>
      <w:r>
        <w:rPr>
          <w:color w:val="2E5090"/>
        </w:rPr>
        <w:t>MBA — Finance &amp; Strategy</w:t>
      </w:r>
    </w:p>
    <w:p w:rsidR="009038FA" w:rsidRDefault="009038FA">
      <w:pPr>
        <w:spacing w:before="40" w:after="40"/>
        <w:jc w:val="both"/>
      </w:pPr>
    </w:p>
    <w:p w:rsidR="009038FA" w:rsidRDefault="00193907">
      <w:pPr>
        <w:spacing w:before="60" w:after="60"/>
        <w:jc w:val="center"/>
      </w:pPr>
      <w:r>
        <w:rPr>
          <w:b/>
          <w:bCs/>
        </w:rPr>
        <w:t>Name of the Internal Supervisor</w:t>
      </w:r>
    </w:p>
    <w:p w:rsidR="009038FA" w:rsidRDefault="00193907">
      <w:pPr>
        <w:spacing w:before="60" w:after="60"/>
        <w:jc w:val="center"/>
      </w:pPr>
      <w:r>
        <w:t>[-----------------------------------]</w:t>
      </w:r>
    </w:p>
    <w:p w:rsidR="009038FA" w:rsidRDefault="00193907">
      <w:pPr>
        <w:spacing w:before="60" w:after="60"/>
        <w:jc w:val="center"/>
      </w:pPr>
      <w:r>
        <w:rPr>
          <w:color w:val="555555"/>
        </w:rPr>
        <w:t>[Qualification]</w:t>
      </w:r>
    </w:p>
    <w:p w:rsidR="009038FA" w:rsidRDefault="009038FA">
      <w:pPr>
        <w:spacing w:before="40" w:after="40"/>
        <w:jc w:val="both"/>
      </w:pPr>
    </w:p>
    <w:p w:rsidR="009038FA" w:rsidRDefault="00193907">
      <w:pPr>
        <w:pBdr>
          <w:top w:val="single" w:sz="2" w:space="4" w:color="CCCCCC"/>
        </w:pBdr>
        <w:spacing w:before="80" w:after="40"/>
        <w:jc w:val="center"/>
      </w:pPr>
      <w:r>
        <w:rPr>
          <w:b/>
          <w:bCs/>
          <w:color w:val="1F3864"/>
        </w:rPr>
        <w:t>Dr. D. Y. Patil Vidyapeeth, Centre For Online Learning, Pune</w:t>
      </w:r>
    </w:p>
    <w:p w:rsidR="009038FA" w:rsidRDefault="00193907">
      <w:pPr>
        <w:spacing w:before="60" w:after="60"/>
        <w:jc w:val="center"/>
      </w:pPr>
      <w:r>
        <w:rPr>
          <w:color w:val="555555"/>
        </w:rPr>
        <w:t>2025 – 2026</w:t>
      </w:r>
    </w:p>
    <w:p w:rsidR="009038FA" w:rsidRDefault="00193907">
      <w:r>
        <w:br w:type="page"/>
      </w:r>
    </w:p>
    <w:p w:rsidR="009038FA" w:rsidRDefault="00193907">
      <w:pPr>
        <w:spacing w:before="320" w:after="160" w:line="360" w:lineRule="auto"/>
      </w:pPr>
      <w:r>
        <w:rPr>
          <w:b/>
          <w:bCs/>
          <w:color w:val="1F3864"/>
          <w:sz w:val="28"/>
          <w:szCs w:val="28"/>
        </w:rPr>
        <w:lastRenderedPageBreak/>
        <w:t>Index</w:t>
      </w:r>
    </w:p>
    <w:p w:rsidR="009038FA" w:rsidRDefault="009038FA">
      <w:pPr>
        <w:spacing w:before="40" w:after="40"/>
        <w:jc w:val="both"/>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1"/>
        <w:gridCol w:w="5953"/>
        <w:gridCol w:w="1531"/>
      </w:tblGrid>
      <w:tr w:rsidR="009038FA">
        <w:trPr>
          <w:tblHeader/>
        </w:trPr>
        <w:tc>
          <w:tcPr>
            <w:tcW w:w="1021"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Sr. No.</w:t>
            </w:r>
          </w:p>
        </w:tc>
        <w:tc>
          <w:tcPr>
            <w:tcW w:w="5954"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Index</w:t>
            </w:r>
          </w:p>
        </w:tc>
        <w:tc>
          <w:tcPr>
            <w:tcW w:w="1531"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Page No.</w:t>
            </w:r>
          </w:p>
        </w:tc>
      </w:tr>
      <w:tr w:rsidR="009038FA">
        <w:tc>
          <w:tcPr>
            <w:tcW w:w="102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1.</w:t>
            </w:r>
          </w:p>
        </w:tc>
        <w:tc>
          <w:tcPr>
            <w:tcW w:w="5954"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Introduction / Background</w:t>
            </w:r>
          </w:p>
        </w:tc>
        <w:tc>
          <w:tcPr>
            <w:tcW w:w="153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1</w:t>
            </w:r>
          </w:p>
        </w:tc>
      </w:tr>
      <w:tr w:rsidR="009038FA">
        <w:tc>
          <w:tcPr>
            <w:tcW w:w="102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2.</w:t>
            </w:r>
          </w:p>
        </w:tc>
        <w:tc>
          <w:tcPr>
            <w:tcW w:w="5954"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Objectives of the Study</w:t>
            </w:r>
          </w:p>
        </w:tc>
        <w:tc>
          <w:tcPr>
            <w:tcW w:w="153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3</w:t>
            </w:r>
          </w:p>
        </w:tc>
      </w:tr>
      <w:tr w:rsidR="009038FA">
        <w:tc>
          <w:tcPr>
            <w:tcW w:w="102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3.</w:t>
            </w:r>
          </w:p>
        </w:tc>
        <w:tc>
          <w:tcPr>
            <w:tcW w:w="5954"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Scope of the Project</w:t>
            </w:r>
          </w:p>
        </w:tc>
        <w:tc>
          <w:tcPr>
            <w:tcW w:w="153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4</w:t>
            </w:r>
          </w:p>
        </w:tc>
      </w:tr>
      <w:tr w:rsidR="009038FA">
        <w:tc>
          <w:tcPr>
            <w:tcW w:w="102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4.</w:t>
            </w:r>
          </w:p>
        </w:tc>
        <w:tc>
          <w:tcPr>
            <w:tcW w:w="5954"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Work Plan and Methodology</w:t>
            </w:r>
          </w:p>
        </w:tc>
        <w:tc>
          <w:tcPr>
            <w:tcW w:w="153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5</w:t>
            </w:r>
          </w:p>
        </w:tc>
      </w:tr>
      <w:tr w:rsidR="009038FA">
        <w:tc>
          <w:tcPr>
            <w:tcW w:w="102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5.</w:t>
            </w:r>
          </w:p>
        </w:tc>
        <w:tc>
          <w:tcPr>
            <w:tcW w:w="5954"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References</w:t>
            </w:r>
          </w:p>
        </w:tc>
        <w:tc>
          <w:tcPr>
            <w:tcW w:w="153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8</w:t>
            </w:r>
          </w:p>
        </w:tc>
      </w:tr>
      <w:tr w:rsidR="009038FA">
        <w:tc>
          <w:tcPr>
            <w:tcW w:w="102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6.</w:t>
            </w:r>
          </w:p>
        </w:tc>
        <w:tc>
          <w:tcPr>
            <w:tcW w:w="5954"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Anticipated Benefits</w:t>
            </w:r>
          </w:p>
        </w:tc>
        <w:tc>
          <w:tcPr>
            <w:tcW w:w="153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9</w:t>
            </w:r>
          </w:p>
        </w:tc>
      </w:tr>
    </w:tbl>
    <w:p w:rsidR="009038FA" w:rsidRDefault="009038FA">
      <w:pPr>
        <w:spacing w:before="40" w:after="40"/>
        <w:jc w:val="both"/>
      </w:pPr>
    </w:p>
    <w:p w:rsidR="009038FA" w:rsidRDefault="00193907">
      <w:r>
        <w:br w:type="page"/>
      </w:r>
    </w:p>
    <w:p w:rsidR="009038FA" w:rsidRDefault="00193907">
      <w:pPr>
        <w:spacing w:before="320" w:after="160" w:line="360" w:lineRule="auto"/>
      </w:pPr>
      <w:r>
        <w:rPr>
          <w:b/>
          <w:bCs/>
          <w:color w:val="1F3864"/>
          <w:sz w:val="28"/>
          <w:szCs w:val="28"/>
        </w:rPr>
        <w:lastRenderedPageBreak/>
        <w:t>Declaration by the Candidate</w:t>
      </w:r>
    </w:p>
    <w:p w:rsidR="009038FA" w:rsidRDefault="00193907">
      <w:pPr>
        <w:spacing w:before="80" w:after="100" w:line="360" w:lineRule="auto"/>
        <w:jc w:val="both"/>
      </w:pPr>
      <w:r>
        <w:t>I, [Student Name], Roll No. [XXXX] / ERP No. [XXXX] / PRN No. [XXXX], student of the Master of Business Administration programme at the Dr. D. Y. Patil Vidyapeeth, Centre For Online Learning, Pune, hereby declare that the project proposal titled "Innovation of Financial Services: Navigating the Future of Banking and Investment — A Case Study on Razorpay" submitted to Dr. D. Y. Patil Vidyapeeth, Centre For Online Learning, Pune, is an original piece of work conducted by me under the guidance of [Faculty Guide Name].</w:t>
      </w:r>
    </w:p>
    <w:p w:rsidR="009038FA" w:rsidRDefault="00193907">
      <w:pPr>
        <w:spacing w:before="80" w:after="100" w:line="360" w:lineRule="auto"/>
        <w:jc w:val="both"/>
      </w:pPr>
      <w:r>
        <w:t>I further declare that:</w:t>
      </w:r>
    </w:p>
    <w:p w:rsidR="009038FA" w:rsidRDefault="00193907">
      <w:pPr>
        <w:pStyle w:val="ListParagraph"/>
        <w:numPr>
          <w:ilvl w:val="0"/>
          <w:numId w:val="2"/>
        </w:numPr>
        <w:spacing w:before="40" w:after="60" w:line="360" w:lineRule="auto"/>
      </w:pPr>
      <w:r>
        <w:t>This proposal has not been submitted, in whole or in part, to any other university, institution, or organisation for the award of any degree, diploma, or certificate.</w:t>
      </w:r>
    </w:p>
    <w:p w:rsidR="009038FA" w:rsidRDefault="00193907">
      <w:pPr>
        <w:pStyle w:val="ListParagraph"/>
        <w:numPr>
          <w:ilvl w:val="0"/>
          <w:numId w:val="2"/>
        </w:numPr>
        <w:spacing w:before="40" w:after="60" w:line="360" w:lineRule="auto"/>
      </w:pPr>
      <w:r>
        <w:t>All information, data, and insights incorporated in this proposal have been duly acknowledged and properly referenced.</w:t>
      </w:r>
    </w:p>
    <w:p w:rsidR="009038FA" w:rsidRDefault="00193907">
      <w:pPr>
        <w:pStyle w:val="ListParagraph"/>
        <w:numPr>
          <w:ilvl w:val="0"/>
          <w:numId w:val="2"/>
        </w:numPr>
        <w:spacing w:before="40" w:after="60" w:line="360" w:lineRule="auto"/>
      </w:pPr>
      <w:r>
        <w:t>Secondary data and publicly available information sourced from industry reports, regulatory publications, academic journals, and company documentation have been attributed to their respective sources.</w:t>
      </w:r>
    </w:p>
    <w:p w:rsidR="009038FA" w:rsidRDefault="00193907">
      <w:pPr>
        <w:pStyle w:val="ListParagraph"/>
        <w:numPr>
          <w:ilvl w:val="0"/>
          <w:numId w:val="2"/>
        </w:numPr>
        <w:spacing w:before="40" w:after="60" w:line="360" w:lineRule="auto"/>
      </w:pPr>
      <w:r>
        <w:t>This work represents my independent intellectual contribution to the field of financial technology and innovation, guided by academic mentorship.</w:t>
      </w:r>
    </w:p>
    <w:p w:rsidR="009038FA" w:rsidRDefault="00193907">
      <w:pPr>
        <w:spacing w:before="80" w:after="100" w:line="360" w:lineRule="auto"/>
        <w:jc w:val="both"/>
      </w:pPr>
      <w:r>
        <w:t>I am fully aware that any act of plagiarism, fabrication, or misrepresentation in this proposal is subject to disciplinary action under the academic integrity policy of Dr. D. Y. Patil Vidyapeeth, Centre For Online Learning, Pune.</w:t>
      </w:r>
    </w:p>
    <w:p w:rsidR="009038FA" w:rsidRDefault="009038FA">
      <w:pPr>
        <w:spacing w:before="40" w:after="40"/>
        <w:jc w:val="both"/>
      </w:pPr>
    </w:p>
    <w:p w:rsidR="009038FA" w:rsidRDefault="00193907">
      <w:pPr>
        <w:spacing w:before="60" w:after="60" w:line="480" w:lineRule="auto"/>
        <w:jc w:val="both"/>
      </w:pPr>
      <w:r>
        <w:t>Signature: _________________________    Date: ________________</w:t>
      </w:r>
    </w:p>
    <w:p w:rsidR="009038FA" w:rsidRDefault="00193907">
      <w:pPr>
        <w:spacing w:before="60" w:after="60" w:line="480" w:lineRule="auto"/>
        <w:jc w:val="both"/>
      </w:pPr>
      <w:r>
        <w:t>Name: _____________________________</w:t>
      </w:r>
    </w:p>
    <w:p w:rsidR="009038FA" w:rsidRDefault="00193907">
      <w:pPr>
        <w:spacing w:before="60" w:after="60" w:line="480" w:lineRule="auto"/>
        <w:jc w:val="both"/>
      </w:pPr>
      <w:r>
        <w:t>ERP / PRN No.: _____________________</w:t>
      </w:r>
    </w:p>
    <w:p w:rsidR="009038FA" w:rsidRDefault="00193907">
      <w:pPr>
        <w:spacing w:before="60" w:after="60" w:line="480" w:lineRule="auto"/>
        <w:jc w:val="both"/>
      </w:pPr>
      <w:r>
        <w:t>Programme: MBA (Finance &amp; Strategy)</w:t>
      </w:r>
    </w:p>
    <w:p w:rsidR="009038FA" w:rsidRDefault="00193907">
      <w:pPr>
        <w:spacing w:before="60" w:after="60" w:line="480" w:lineRule="auto"/>
        <w:jc w:val="both"/>
      </w:pPr>
      <w:r>
        <w:t>Institution: Dr. D. Y. Patil Vidyapeeth, Centre For Online Learning, Pune</w:t>
      </w:r>
    </w:p>
    <w:p w:rsidR="009038FA" w:rsidRDefault="00193907">
      <w:r>
        <w:br w:type="page"/>
      </w:r>
    </w:p>
    <w:p w:rsidR="009038FA" w:rsidRDefault="00193907">
      <w:pPr>
        <w:spacing w:before="320" w:after="160" w:line="360" w:lineRule="auto"/>
      </w:pPr>
      <w:r>
        <w:rPr>
          <w:b/>
          <w:bCs/>
          <w:color w:val="1F3864"/>
          <w:sz w:val="28"/>
          <w:szCs w:val="28"/>
        </w:rPr>
        <w:t>Certificate by the Faculty Guide</w:t>
      </w:r>
    </w:p>
    <w:p w:rsidR="009038FA" w:rsidRDefault="00193907">
      <w:pPr>
        <w:spacing w:before="80" w:after="100" w:line="360" w:lineRule="auto"/>
        <w:jc w:val="both"/>
      </w:pPr>
      <w:r>
        <w:t>This is to certify that the project proposal titled "Innovation of Financial Services: Navigating the Future of Banking and Investment — A Case Study on Razorpay" submitted by [Student Name] (ERP No. [XXXX] / PRN No. [XXXX]) is a bonafide record of work carried out by the candidate under my supervision and guidance.</w:t>
      </w:r>
    </w:p>
    <w:p w:rsidR="009038FA" w:rsidRDefault="00193907">
      <w:pPr>
        <w:spacing w:before="80" w:after="100" w:line="360" w:lineRule="auto"/>
        <w:jc w:val="both"/>
      </w:pPr>
      <w:r>
        <w:t>The proposal is an original contribution and has not been submitted to any other institution for the award of any degree or diploma. The candidate has satisfactorily completed the proposal preparation and has incorporated all corrections and suggestions recommended during the review process.</w:t>
      </w:r>
    </w:p>
    <w:p w:rsidR="009038FA" w:rsidRDefault="00193907">
      <w:pPr>
        <w:spacing w:before="80" w:after="100" w:line="360" w:lineRule="auto"/>
        <w:jc w:val="both"/>
      </w:pPr>
      <w:r>
        <w:t>I recommend the proposal for evaluation as part of the MBA Final Year Project requirement at Dr. D. Y. Patil Vidyapeeth, Centre For Online Learning, Pune.</w:t>
      </w:r>
    </w:p>
    <w:p w:rsidR="009038FA" w:rsidRDefault="009038FA">
      <w:pPr>
        <w:spacing w:before="40" w:after="40"/>
        <w:jc w:val="both"/>
      </w:pPr>
    </w:p>
    <w:p w:rsidR="009038FA" w:rsidRDefault="00193907">
      <w:pPr>
        <w:spacing w:before="60" w:after="60" w:line="480" w:lineRule="auto"/>
        <w:jc w:val="both"/>
      </w:pPr>
      <w:r>
        <w:t>Faculty Guide Signature: _________________________    Date: ________________</w:t>
      </w:r>
    </w:p>
    <w:p w:rsidR="009038FA" w:rsidRDefault="00193907">
      <w:pPr>
        <w:spacing w:before="60" w:after="60" w:line="480" w:lineRule="auto"/>
        <w:jc w:val="both"/>
      </w:pPr>
      <w:r>
        <w:t>Name: _____________________________</w:t>
      </w:r>
    </w:p>
    <w:p w:rsidR="009038FA" w:rsidRDefault="00193907">
      <w:pPr>
        <w:spacing w:before="60" w:after="60" w:line="480" w:lineRule="auto"/>
        <w:jc w:val="both"/>
      </w:pPr>
      <w:r>
        <w:t>Designation: _______________________</w:t>
      </w:r>
    </w:p>
    <w:p w:rsidR="009038FA" w:rsidRDefault="00193907">
      <w:pPr>
        <w:spacing w:before="60" w:after="60" w:line="480" w:lineRule="auto"/>
        <w:jc w:val="both"/>
      </w:pPr>
      <w:r>
        <w:t>Department: ________________________</w:t>
      </w:r>
    </w:p>
    <w:p w:rsidR="009038FA" w:rsidRDefault="00193907">
      <w:pPr>
        <w:spacing w:before="60" w:after="60" w:line="480" w:lineRule="auto"/>
        <w:jc w:val="both"/>
      </w:pPr>
      <w:r>
        <w:t>Institution: Dr. D. Y. Patil Vidyapeeth, Centre For Online Learning, Pune</w:t>
      </w:r>
    </w:p>
    <w:p w:rsidR="009038FA" w:rsidRDefault="009038FA">
      <w:pPr>
        <w:spacing w:before="60" w:after="60" w:line="480" w:lineRule="auto"/>
        <w:jc w:val="both"/>
      </w:pPr>
    </w:p>
    <w:p w:rsidR="009038FA" w:rsidRDefault="00193907">
      <w:pPr>
        <w:spacing w:before="60" w:after="60" w:line="480" w:lineRule="auto"/>
        <w:jc w:val="both"/>
      </w:pPr>
      <w:r>
        <w:t>Institutional Seal</w:t>
      </w:r>
    </w:p>
    <w:p w:rsidR="009038FA" w:rsidRDefault="00193907">
      <w:r>
        <w:br w:type="page"/>
      </w:r>
    </w:p>
    <w:p w:rsidR="009038FA" w:rsidRDefault="00193907">
      <w:pPr>
        <w:spacing w:before="320" w:after="160" w:line="360" w:lineRule="auto"/>
      </w:pPr>
      <w:r>
        <w:rPr>
          <w:b/>
          <w:bCs/>
          <w:color w:val="1F3864"/>
          <w:sz w:val="28"/>
          <w:szCs w:val="28"/>
        </w:rPr>
        <w:t>Acknowledgements</w:t>
      </w:r>
    </w:p>
    <w:p w:rsidR="009038FA" w:rsidRDefault="00193907">
      <w:pPr>
        <w:spacing w:before="80" w:after="100" w:line="480" w:lineRule="auto"/>
        <w:jc w:val="both"/>
      </w:pPr>
      <w:r>
        <w:t>This project proposal represents an important step in my MBA research journey at Dr. D. Y. Patil Vidyapeeth, Centre For Online Learning, Pune. Its preparation would not have been possible without the intellectual guidance, institutional support, and personal encouragement of many individuals.</w:t>
      </w:r>
    </w:p>
    <w:p w:rsidR="009038FA" w:rsidRDefault="00193907">
      <w:pPr>
        <w:spacing w:before="80" w:after="100" w:line="480" w:lineRule="auto"/>
        <w:jc w:val="both"/>
      </w:pPr>
      <w:r>
        <w:t>I extend my deepest gratitude to my Internal Supervisor, whose analytical guidance and academic rigour have shaped the direction and quality of this research proposal. Each feedback session has pushed me toward greater clarity and precision.</w:t>
      </w:r>
    </w:p>
    <w:p w:rsidR="009038FA" w:rsidRDefault="00193907">
      <w:pPr>
        <w:spacing w:before="80" w:after="100" w:line="480" w:lineRule="auto"/>
        <w:jc w:val="both"/>
      </w:pPr>
      <w:r>
        <w:t>I sincerely appreciate Dr. D. Y. Patil Vidyapeeth, Centre For Online Learning, Pune, for providing access to academic databases, research resources, and a supportive learning environment that made this work possible.</w:t>
      </w:r>
    </w:p>
    <w:p w:rsidR="009038FA" w:rsidRDefault="00193907">
      <w:pPr>
        <w:spacing w:before="80" w:after="100" w:line="480" w:lineRule="auto"/>
        <w:jc w:val="both"/>
      </w:pPr>
      <w:r>
        <w:t>I am also grateful to Razorpay's commitment to transparent stakeholder communication. Their publicly available product documentation, developer resources, merchant case studies, and regulatory disclosures provided an invaluable empirical foundation for this proposal.</w:t>
      </w:r>
    </w:p>
    <w:p w:rsidR="009038FA" w:rsidRDefault="00193907">
      <w:pPr>
        <w:spacing w:before="80" w:after="100" w:line="480" w:lineRule="auto"/>
        <w:jc w:val="both"/>
      </w:pPr>
      <w:r>
        <w:t>Finally, I thank my family and colleagues for their patience and encouragement throughout the preparation of this proposal.</w:t>
      </w:r>
    </w:p>
    <w:p w:rsidR="009038FA" w:rsidRDefault="009038FA">
      <w:pPr>
        <w:spacing w:before="40" w:after="40"/>
        <w:jc w:val="both"/>
      </w:pPr>
    </w:p>
    <w:p w:rsidR="009038FA" w:rsidRDefault="00193907">
      <w:pPr>
        <w:spacing w:before="80" w:after="100" w:line="480" w:lineRule="auto"/>
        <w:jc w:val="both"/>
      </w:pPr>
      <w:r>
        <w:t>— [Student Name]</w:t>
      </w:r>
    </w:p>
    <w:p w:rsidR="009038FA" w:rsidRDefault="00193907">
      <w:pPr>
        <w:spacing w:before="80" w:after="100" w:line="480" w:lineRule="auto"/>
        <w:jc w:val="both"/>
      </w:pPr>
      <w:r>
        <w:t>Dr. D. Y. Patil Vidyapeeth, Centre For Online Learning, Pune, 2026</w:t>
      </w:r>
    </w:p>
    <w:p w:rsidR="009038FA" w:rsidRDefault="00193907">
      <w:r>
        <w:br w:type="page"/>
      </w:r>
    </w:p>
    <w:p w:rsidR="009038FA" w:rsidRDefault="009038FA">
      <w:pPr>
        <w:sectPr w:rsidR="009038FA">
          <w:headerReference w:type="default" r:id="rId7"/>
          <w:footerReference w:type="default" r:id="rId8"/>
          <w:pgSz w:w="11906" w:h="16838"/>
          <w:pgMar w:top="1814" w:right="1247" w:bottom="1531" w:left="2154" w:header="708" w:footer="708" w:gutter="0"/>
          <w:pgNumType w:fmt="lowerRoman" w:start="1"/>
          <w:cols w:space="720"/>
          <w:docGrid w:linePitch="360"/>
        </w:sectPr>
      </w:pPr>
    </w:p>
    <w:p w:rsidR="009038FA" w:rsidRDefault="00193907">
      <w:pPr>
        <w:spacing w:before="320" w:after="160" w:line="360" w:lineRule="auto"/>
      </w:pPr>
      <w:r>
        <w:rPr>
          <w:b/>
          <w:bCs/>
          <w:color w:val="1F3864"/>
          <w:sz w:val="28"/>
          <w:szCs w:val="28"/>
        </w:rPr>
        <w:t>1.  Introduction / Background</w:t>
      </w:r>
    </w:p>
    <w:p w:rsidR="009038FA" w:rsidRDefault="00193907">
      <w:pPr>
        <w:spacing w:before="80" w:after="100" w:line="360" w:lineRule="auto"/>
        <w:jc w:val="both"/>
      </w:pPr>
      <w:r>
        <w:t>The financial services sector is undergoing a transformation of unprecedented speed and scale. The convergence of mobile-first consumer behaviour, cloud economics, open-source technology infrastructure, and regulatory liberalisation has dismantled barriers that once shielded incumbent banks from competitive disruption. In their place has emerged a new class of technology-native providers delivering banking, lending, payments, and compliance services through APIs, machine-learning models, and platform ecosystems embedded into everyday digital experiences. As of May 2026, artificial intelligence has accelerated this disruption further still — with agentic AI systems now capable of autonomously initiating, completing, and reconciling financial transactions on behalf of businesses.</w:t>
      </w:r>
    </w:p>
    <w:p w:rsidR="009038FA" w:rsidRDefault="009038FA">
      <w:pPr>
        <w:spacing w:before="40" w:after="40"/>
        <w:jc w:val="both"/>
      </w:pPr>
    </w:p>
    <w:p w:rsidR="009038FA" w:rsidRDefault="00193907">
      <w:pPr>
        <w:spacing w:before="180" w:after="80" w:line="360" w:lineRule="auto"/>
      </w:pPr>
      <w:r>
        <w:rPr>
          <w:b/>
          <w:bCs/>
          <w:u w:val="single"/>
        </w:rPr>
        <w:t>Context and Rationale</w:t>
      </w:r>
    </w:p>
    <w:p w:rsidR="009038FA" w:rsidRDefault="00193907">
      <w:pPr>
        <w:spacing w:before="80" w:after="100" w:line="360" w:lineRule="auto"/>
        <w:jc w:val="both"/>
      </w:pPr>
      <w:r>
        <w:t>India occupies a position of extraordinary analytical significance in the global fintech landscape. No other country of comparable developmental complexity — 1.4 billion people, 22 official languages, and GDP per capita at a fraction of OECD levels — has constructed digital financial infrastructure of comparable ambition and measurable impact. Three foundational policy interventions underpin India's digital finance revolution: the Aadhaar biometric identity system (enrolled 99.7% of India's adult population), the 2016 demonetisation event that forced accelerated digital-payments adoption, and the rollout of the Unified Payments Interface (UPI) from August 2016 onward.</w:t>
      </w:r>
    </w:p>
    <w:p w:rsidR="009038FA" w:rsidRDefault="00193907">
      <w:pPr>
        <w:spacing w:before="80" w:after="100" w:line="360" w:lineRule="auto"/>
        <w:jc w:val="both"/>
      </w:pPr>
      <w:r>
        <w:t>UPI, India's real-time interoperable payment rail with zero Merchant Discount Rate, has become the world's most consequential digital infrastructure experiment. By 2025, UPI processed over 250 billion annual transactions worth approximately USD 3.4 trillion — accounting for 50% of global real-time digital transaction volume and handling over 640 million transactions per day, surpassing Visa's global daily volume. Monthly records have continued to fall: August 2025 saw 20+ billion UPI transactions worth Rs 25 trillion; December 2025 set a then-peak of 21.63 billion monthly transactions; and April 2026 posted 22.35 billion transactions (NPCI, May 2026). UPI's success rate now stands at 99.2%, with 684 banks live on the platform and 491 million active users. Person-to-Merchant (P2M) transactions alone reached 67.01 billion in the first half of 2025, growing 37% year-on-year. By FY2026–27, UPI transactions are projected to reach 379 billion annually, constituting 90% of all retail digital payments (PwC India, 2026).</w:t>
      </w:r>
    </w:p>
    <w:p w:rsidR="009038FA" w:rsidRDefault="00193907">
      <w:pPr>
        <w:spacing w:before="80" w:after="100" w:line="360" w:lineRule="auto"/>
        <w:jc w:val="both"/>
      </w:pPr>
      <w:r>
        <w:t>India's fintech market, valued at USD 142.5 billion in 2025, is projected to reach USD 595 billion by 2034 at a CAGR of 17.21% (IMARC Group, 2026). Globally, the embedded finance market reached USD 148.38 billion in 2025; India received USD 3.4 billion in fintech venture funding in 2025, ranking third globally after the US and UK (Innovate Finance, 2025). The global fintech market is estimated at USD 460.76 billion in 2026, growing at 18.2% CAGR toward USD 1.76 trillion by 2034 (Fortune Business Insights, 2026).</w:t>
      </w:r>
    </w:p>
    <w:p w:rsidR="009038FA" w:rsidRDefault="009038FA">
      <w:pPr>
        <w:spacing w:before="40" w:after="40"/>
        <w:jc w:val="both"/>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28"/>
        <w:gridCol w:w="2381"/>
        <w:gridCol w:w="2296"/>
      </w:tblGrid>
      <w:tr w:rsidR="009038FA">
        <w:trPr>
          <w:tblHeader/>
        </w:trPr>
        <w:tc>
          <w:tcPr>
            <w:tcW w:w="3827"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Key Metric</w:t>
            </w:r>
          </w:p>
        </w:tc>
        <w:tc>
          <w:tcPr>
            <w:tcW w:w="2381"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FY2024 (Old Data)</w:t>
            </w:r>
          </w:p>
        </w:tc>
        <w:tc>
          <w:tcPr>
            <w:tcW w:w="229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May 2026 (Updated)</w:t>
            </w:r>
          </w:p>
        </w:tc>
      </w:tr>
      <w:tr w:rsidR="009038FA">
        <w:tc>
          <w:tcPr>
            <w:tcW w:w="382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UPI Annual Transactions</w:t>
            </w:r>
          </w:p>
        </w:tc>
        <w:tc>
          <w:tcPr>
            <w:tcW w:w="238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131 billion</w:t>
            </w:r>
          </w:p>
        </w:tc>
        <w:tc>
          <w:tcPr>
            <w:tcW w:w="229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250+ billion</w:t>
            </w:r>
          </w:p>
        </w:tc>
      </w:tr>
      <w:tr w:rsidR="009038FA">
        <w:tc>
          <w:tcPr>
            <w:tcW w:w="382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UPI Transaction Value</w:t>
            </w:r>
          </w:p>
        </w:tc>
        <w:tc>
          <w:tcPr>
            <w:tcW w:w="238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2.2 trillion</w:t>
            </w:r>
          </w:p>
        </w:tc>
        <w:tc>
          <w:tcPr>
            <w:tcW w:w="229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3.4 trillion</w:t>
            </w:r>
          </w:p>
        </w:tc>
      </w:tr>
      <w:tr w:rsidR="009038FA">
        <w:tc>
          <w:tcPr>
            <w:tcW w:w="382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UPI Monthly Peak</w:t>
            </w:r>
          </w:p>
        </w:tc>
        <w:tc>
          <w:tcPr>
            <w:tcW w:w="238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w:t>
            </w:r>
          </w:p>
        </w:tc>
        <w:tc>
          <w:tcPr>
            <w:tcW w:w="229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22.35 billion (Apr 2026)</w:t>
            </w:r>
          </w:p>
        </w:tc>
      </w:tr>
      <w:tr w:rsidR="009038FA">
        <w:tc>
          <w:tcPr>
            <w:tcW w:w="382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India Fintech Market</w:t>
            </w:r>
          </w:p>
        </w:tc>
        <w:tc>
          <w:tcPr>
            <w:tcW w:w="238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111 billion (FY23)</w:t>
            </w:r>
          </w:p>
        </w:tc>
        <w:tc>
          <w:tcPr>
            <w:tcW w:w="229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142.5 billion (2025)</w:t>
            </w:r>
          </w:p>
        </w:tc>
      </w:tr>
      <w:tr w:rsidR="009038FA">
        <w:tc>
          <w:tcPr>
            <w:tcW w:w="382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Razorpay Active Merchants</w:t>
            </w:r>
          </w:p>
        </w:tc>
        <w:tc>
          <w:tcPr>
            <w:tcW w:w="238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5 million</w:t>
            </w:r>
          </w:p>
        </w:tc>
        <w:tc>
          <w:tcPr>
            <w:tcW w:w="229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12 million+</w:t>
            </w:r>
          </w:p>
        </w:tc>
      </w:tr>
      <w:tr w:rsidR="009038FA">
        <w:tc>
          <w:tcPr>
            <w:tcW w:w="382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Razorpay Annual TPV</w:t>
            </w:r>
          </w:p>
        </w:tc>
        <w:tc>
          <w:tcPr>
            <w:tcW w:w="238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150 billion</w:t>
            </w:r>
          </w:p>
        </w:tc>
        <w:tc>
          <w:tcPr>
            <w:tcW w:w="229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180 billion (annualised)</w:t>
            </w:r>
          </w:p>
        </w:tc>
      </w:tr>
      <w:tr w:rsidR="009038FA">
        <w:tc>
          <w:tcPr>
            <w:tcW w:w="382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Razorpay FY25 Revenue</w:t>
            </w:r>
          </w:p>
        </w:tc>
        <w:tc>
          <w:tcPr>
            <w:tcW w:w="238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Not disclosed</w:t>
            </w:r>
          </w:p>
        </w:tc>
        <w:tc>
          <w:tcPr>
            <w:tcW w:w="229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Rs 3,783 crore (65% YoY)</w:t>
            </w:r>
          </w:p>
        </w:tc>
      </w:tr>
      <w:tr w:rsidR="009038FA">
        <w:tc>
          <w:tcPr>
            <w:tcW w:w="382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Razorpay Valuation</w:t>
            </w:r>
          </w:p>
        </w:tc>
        <w:tc>
          <w:tcPr>
            <w:tcW w:w="2381"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7.5 billion</w:t>
            </w:r>
          </w:p>
        </w:tc>
        <w:tc>
          <w:tcPr>
            <w:tcW w:w="229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USD 5–6 billion (IPO target, Apr 2026)</w:t>
            </w:r>
          </w:p>
        </w:tc>
      </w:tr>
      <w:tr w:rsidR="009038FA">
        <w:tc>
          <w:tcPr>
            <w:tcW w:w="382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Gateway Market Share</w:t>
            </w:r>
          </w:p>
        </w:tc>
        <w:tc>
          <w:tcPr>
            <w:tcW w:w="2381"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~50%</w:t>
            </w:r>
          </w:p>
        </w:tc>
        <w:tc>
          <w:tcPr>
            <w:tcW w:w="229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~55%</w:t>
            </w:r>
          </w:p>
        </w:tc>
      </w:tr>
    </w:tbl>
    <w:p w:rsidR="009038FA" w:rsidRDefault="00193907">
      <w:pPr>
        <w:spacing w:before="80" w:after="160"/>
        <w:jc w:val="center"/>
      </w:pPr>
      <w:r>
        <w:rPr>
          <w:b/>
          <w:bCs/>
          <w:sz w:val="22"/>
          <w:szCs w:val="22"/>
        </w:rPr>
        <w:t xml:space="preserve">Table 1.1  </w:t>
      </w:r>
      <w:r>
        <w:rPr>
          <w:i/>
          <w:iCs/>
          <w:sz w:val="22"/>
          <w:szCs w:val="22"/>
        </w:rPr>
        <w:t>Key Metrics Comparison: FY2024 vs May 2026  (Sources: NPCI 2026; IMARC Group 2026; RoC FY25 Filings; CoinLaw 2026)</w:t>
      </w:r>
    </w:p>
    <w:p w:rsidR="009038FA" w:rsidRDefault="009038FA">
      <w:pPr>
        <w:spacing w:before="40" w:after="40"/>
        <w:jc w:val="both"/>
      </w:pPr>
    </w:p>
    <w:p w:rsidR="00950A36" w:rsidRDefault="00950A36">
      <w:pPr>
        <w:spacing w:before="180" w:after="80" w:line="360" w:lineRule="auto"/>
        <w:rPr>
          <w:b/>
          <w:bCs/>
          <w:u w:val="single"/>
        </w:rPr>
      </w:pPr>
    </w:p>
    <w:p w:rsidR="009038FA" w:rsidRDefault="00193907">
      <w:pPr>
        <w:spacing w:before="180" w:after="80" w:line="360" w:lineRule="auto"/>
      </w:pPr>
      <w:r>
        <w:rPr>
          <w:b/>
          <w:bCs/>
          <w:u w:val="single"/>
        </w:rPr>
        <w:t>Problem Statement</w:t>
      </w:r>
    </w:p>
    <w:p w:rsidR="009038FA" w:rsidRDefault="00193907">
      <w:pPr>
        <w:spacing w:before="80" w:after="100" w:line="360" w:lineRule="auto"/>
        <w:jc w:val="both"/>
      </w:pPr>
      <w:r>
        <w:t>Despite extensive practitioner literature on fintech disruption and growing academic interest in platform economics, a specific analytical gap persists: how do B2B payment infrastructure companies leverage API architecture to transition from single-product payment acceptance to full-stack embedded AI-powered financial platforms — particularly in emerging markets where both the fintech layer and the underlying banking infrastructure are being developed contemporaneously? How does the introduction of agentic AI alter competitive dynamics in payments ecosystems?</w:t>
      </w:r>
    </w:p>
    <w:p w:rsidR="009038FA" w:rsidRDefault="00193907">
      <w:pPr>
        <w:spacing w:before="80" w:after="100" w:line="360" w:lineRule="auto"/>
        <w:jc w:val="both"/>
      </w:pPr>
      <w:r>
        <w:t xml:space="preserve">Razorpay — India's leading B2B payment infrastructure company — represents the most analytically rich case study for examining this transition. Founded in 2014, Razorpay has evolved into a full-stack financial services platform now serving over 12 million businesses (as of early 2026), processing approximately one billion transactions per quarter at a total payment volume (TPV) of approximately USD 45 billion per quarter (annualised: USD 180 billion). It commands approximately 55% of India's online payment gateway market. In April 2026, Razorpay became the first payments company globally to embed UPI and all Indian payment methods directly into OpenAI's Codex — enabling developers to go from idea to revenue-generating product in under five minutes via its MCP Server integration. Its Agent Studio (launched March 2026, built on Anthropic's Claude Agent SDK) deploys autonomous AI agents to manage disputes, recover failed payments, forecast cashflows, and automate financial workflows. In April 2026, Razorpay filed for a confidential IPO, targeting a USD 600–700 million raise at a USD 5–6 billion </w:t>
      </w:r>
      <w:r w:rsidR="00950A36">
        <w:t>valuations</w:t>
      </w:r>
      <w:r>
        <w:t>, with Axis Capital, Kotak Mahindra Capital, JP Morgan, and Citi appointed as IPO bankers. No comprehensive academic treatment of this evolution currently exists. This project addresses that gap.</w:t>
      </w:r>
    </w:p>
    <w:p w:rsidR="009038FA" w:rsidRDefault="009038FA">
      <w:pPr>
        <w:pBdr>
          <w:bottom w:val="single" w:sz="6" w:space="4" w:color="2E5090"/>
        </w:pBdr>
        <w:spacing w:before="160" w:after="80"/>
        <w:jc w:val="both"/>
      </w:pPr>
    </w:p>
    <w:p w:rsidR="009038FA" w:rsidRDefault="00193907">
      <w:pPr>
        <w:spacing w:before="320" w:after="160" w:line="360" w:lineRule="auto"/>
      </w:pPr>
      <w:r>
        <w:rPr>
          <w:b/>
          <w:bCs/>
          <w:color w:val="1F3864"/>
          <w:sz w:val="28"/>
          <w:szCs w:val="28"/>
        </w:rPr>
        <w:t>2.  Objectives of the Study</w:t>
      </w:r>
    </w:p>
    <w:p w:rsidR="009038FA" w:rsidRDefault="00193907">
      <w:pPr>
        <w:spacing w:before="80" w:after="100" w:line="360" w:lineRule="auto"/>
        <w:jc w:val="both"/>
      </w:pPr>
      <w:r>
        <w:t>This study is guided by five SMART (Specific, Measurable, Achievable, Relevant, Time-Bound) research objectives, fully updated to reflect developments in the Indian fintech ecosystem through May 2026:</w:t>
      </w:r>
    </w:p>
    <w:p w:rsidR="009038FA" w:rsidRDefault="009038FA">
      <w:pPr>
        <w:spacing w:before="40" w:after="40"/>
        <w:jc w:val="both"/>
      </w:pPr>
    </w:p>
    <w:p w:rsidR="009038FA" w:rsidRDefault="00193907">
      <w:pPr>
        <w:spacing w:before="80" w:after="80" w:line="360" w:lineRule="auto"/>
        <w:ind w:left="360" w:hanging="360"/>
        <w:jc w:val="both"/>
      </w:pPr>
      <w:r>
        <w:rPr>
          <w:b/>
          <w:bCs/>
        </w:rPr>
        <w:t xml:space="preserve">Objective 1 — Financial Innovation Landscape:  </w:t>
      </w:r>
      <w:r>
        <w:t>To examine the macro-structural forces — technological, regulatory, economic, and social — driving innovation in financial services globally and within India between 2014 and May 2026. Measurable anchor: India's UPI reaching 22.35 billion transactions in April 2026; 50% of world digital transaction volume; USD 142.5 billion fintech market in 2025; and USD 3.4 billion venture inflows. Time-bound: Literature synthesis completed by June 2026.</w:t>
      </w:r>
    </w:p>
    <w:p w:rsidR="009038FA" w:rsidRDefault="00193907">
      <w:pPr>
        <w:spacing w:before="80" w:after="80" w:line="360" w:lineRule="auto"/>
        <w:ind w:left="360" w:hanging="360"/>
        <w:jc w:val="both"/>
      </w:pPr>
      <w:r>
        <w:rPr>
          <w:b/>
          <w:bCs/>
        </w:rPr>
        <w:t xml:space="preserve">Objective 2 — Razorpay's Platform Architecture:  </w:t>
      </w:r>
      <w:r>
        <w:t>To analyse Razorpay's product architecture, business model, and competitive strategy as a case study in platform-based financial services innovation — covering digital payments (55% gateway market share, 12M+ merchants, Rs 3,783 crore FY25 revenue with 65% YoY growth), neo-banking (RazorpayX: 40,000+ businesses on payroll), embedded lending (Razorpay Capital: 10-second disbursals, Line of Credit up to Rs 25 lakh), and new AI infrastructure (Agent Studio on Anthropic Claude SDK; OpenAI Codex MCP Server integration; ChatGPT payment management app; biometric passkey authentication with Mastercard and Visa). Time-bound: Completed May 2026.</w:t>
      </w:r>
    </w:p>
    <w:p w:rsidR="009038FA" w:rsidRDefault="00193907">
      <w:pPr>
        <w:spacing w:before="80" w:after="80" w:line="360" w:lineRule="auto"/>
        <w:ind w:left="360" w:hanging="360"/>
        <w:jc w:val="both"/>
      </w:pPr>
      <w:r>
        <w:rPr>
          <w:b/>
          <w:bCs/>
        </w:rPr>
        <w:t xml:space="preserve">Objective 3 — Technology Integration and Scalability:  </w:t>
      </w:r>
      <w:r>
        <w:t>To study how API architecture, machine-learning automation, and agentic AI tools now power scalable and accessible financial service delivery across 12 million+ SME merchants. The Agent Studio (March 2026) represents the frontier of autonomous financial operations and the OpenAI Codex integration (April 2026) collapses payment setup from days to minutes. Specific outcome: Model how agentic automation reduces dispute resolution time, payment failure recovery rates, and operational costs. Time-bound: Analysis completed July 2026.</w:t>
      </w:r>
    </w:p>
    <w:p w:rsidR="009038FA" w:rsidRDefault="00193907">
      <w:pPr>
        <w:spacing w:before="80" w:after="80" w:line="360" w:lineRule="auto"/>
        <w:ind w:left="360" w:hanging="360"/>
        <w:jc w:val="both"/>
      </w:pPr>
      <w:r>
        <w:rPr>
          <w:b/>
          <w:bCs/>
        </w:rPr>
        <w:t xml:space="preserve">Objective 4 — Customer Experience and Financial Inclusion:  </w:t>
      </w:r>
      <w:r>
        <w:t xml:space="preserve">To evaluate the measurable impact of Razorpay's innovations on customer experience (99.2% UPI success rate; 94% merchant retention; 22% cart abandonment reduction via Magic Checkout), SME financial inclusion (USD 530 billion estimated credit gap; 10-second loan disbursals via Razorpay Capital; Rs 25 lakh Line of Credit at 1.5% monthly interest), </w:t>
      </w:r>
      <w:r w:rsidR="0073397C">
        <w:t>and conditional business growth.</w:t>
      </w:r>
      <w:r>
        <w:t xml:space="preserve"> Specific metric: Assess whether Agent Studio's autonomous dispute management and failed-payment recovery </w:t>
      </w:r>
      <w:r w:rsidR="0073397C">
        <w:t>improves liquidity stability and retention before income expansion.</w:t>
      </w:r>
      <w:r>
        <w:t xml:space="preserve"> Time-bound: Evaluation completed July 2026.</w:t>
      </w:r>
    </w:p>
    <w:p w:rsidR="009038FA" w:rsidRDefault="00193907">
      <w:pPr>
        <w:spacing w:before="80" w:after="80" w:line="360" w:lineRule="auto"/>
        <w:ind w:left="360" w:hanging="360"/>
        <w:jc w:val="both"/>
      </w:pPr>
      <w:r>
        <w:rPr>
          <w:b/>
          <w:bCs/>
        </w:rPr>
        <w:t xml:space="preserve">Objective 5 — Future FinTech Trends and Strategic Implications:  </w:t>
      </w:r>
      <w:r>
        <w:t>To assess future FinTech trends shaping banking and investment — including agentic AI payments, CBDC integration, UPI global expansion (25+ countries; April 2026 launch in Israel; Project Nexus multilateral linkage expected 2026), Razorpay's Middle East expansion (2,000+ merchants), and the anticipated IPO (USD 600–700M, USD 5–6B valuation, April 2026 confidential SEBI filing). Derives actionable recommendations for four stakeholder groups: FinTech firms, incumbent banks, SME users, and regulators. Time-bound: Recommendations completed August 2026.</w:t>
      </w:r>
    </w:p>
    <w:p w:rsidR="009038FA" w:rsidRDefault="009038FA">
      <w:pPr>
        <w:pBdr>
          <w:bottom w:val="single" w:sz="6" w:space="4" w:color="2E5090"/>
        </w:pBdr>
        <w:spacing w:before="160" w:after="80"/>
        <w:jc w:val="both"/>
      </w:pPr>
    </w:p>
    <w:p w:rsidR="009038FA" w:rsidRDefault="00193907">
      <w:pPr>
        <w:spacing w:before="320" w:after="160" w:line="360" w:lineRule="auto"/>
      </w:pPr>
      <w:r>
        <w:rPr>
          <w:b/>
          <w:bCs/>
          <w:color w:val="1F3864"/>
          <w:sz w:val="28"/>
          <w:szCs w:val="28"/>
        </w:rPr>
        <w:t>3.  Scope of the Project</w:t>
      </w:r>
    </w:p>
    <w:p w:rsidR="009038FA" w:rsidRDefault="00193907">
      <w:pPr>
        <w:spacing w:before="180" w:after="80" w:line="360" w:lineRule="auto"/>
      </w:pPr>
      <w:r>
        <w:rPr>
          <w:b/>
          <w:bCs/>
          <w:u w:val="single"/>
        </w:rPr>
        <w:t>Areas Covered</w:t>
      </w:r>
    </w:p>
    <w:p w:rsidR="009038FA" w:rsidRDefault="00193907">
      <w:pPr>
        <w:spacing w:before="80" w:after="100" w:line="360" w:lineRule="auto"/>
        <w:jc w:val="both"/>
      </w:pPr>
      <w:r>
        <w:t>The temporal scope covers Razorpay's founding in 2014 through to May 2026 — the most current available data at the time of this proposal. The geographic focus is primarily India's fintech ecosystem, with comparative benchmarking against the United States (Stripe), United Kingdom (Starling/Monzo), China (Alipay), Brazil (Nubank), and the Gulf Cooperation Council markets where Razorpay now operates. The industry scope encompasses payments, neo-banking, working-capital lending, payroll and compliance technology, agentic AI for financial operations, and developer-ecosystem economics.</w:t>
      </w:r>
    </w:p>
    <w:p w:rsidR="009038FA" w:rsidRDefault="00193907">
      <w:pPr>
        <w:spacing w:before="80" w:after="100" w:line="360" w:lineRule="auto"/>
        <w:jc w:val="both"/>
      </w:pPr>
      <w:r>
        <w:t xml:space="preserve">The analytical scope covers Razorpay's full 2026 product portfolio: Payment Gateway, RazorpayX (current accounts, payroll, payout links, forex/FDI transfers, Escrow+, tax payments, Digital Lending 2.0), Razorpay Capital (working capital loans, Line of Credit up to Rs 25 lakh), Agent Studio (AI agents for disputes, failed payment recovery, cash-flow forecasting), OpenAI Codex MCP Server integration, ChatGPT payment management app, POS and offline Q-Zap, Payments as a Service, DirectToPhone Payouts, biometric passkey authentication, and the Pop consumer payments acquisition. Four strategic frameworks are applied — PESTLE, Porter's Five Forces, SWOT, and the original DELTA Model — </w:t>
      </w:r>
      <w:r w:rsidR="0073397C">
        <w:t>alongside four AI/ML models, primary survey validation, Streamlit, and Power BI.</w:t>
      </w:r>
    </w:p>
    <w:p w:rsidR="009038FA" w:rsidRDefault="009038FA">
      <w:pPr>
        <w:spacing w:before="40" w:after="40"/>
        <w:jc w:val="both"/>
      </w:pPr>
    </w:p>
    <w:p w:rsidR="009038FA" w:rsidRDefault="00193907">
      <w:pPr>
        <w:spacing w:before="180" w:after="80" w:line="360" w:lineRule="auto"/>
      </w:pPr>
      <w:r>
        <w:rPr>
          <w:b/>
          <w:bCs/>
          <w:u w:val="single"/>
        </w:rPr>
        <w:t>Limitations and Constraints</w:t>
      </w:r>
    </w:p>
    <w:p w:rsidR="009038FA" w:rsidRDefault="00193907">
      <w:pPr>
        <w:spacing w:before="60" w:after="80" w:line="360" w:lineRule="auto"/>
        <w:jc w:val="both"/>
      </w:pPr>
      <w:r>
        <w:rPr>
          <w:b/>
          <w:bCs/>
        </w:rPr>
        <w:t xml:space="preserve">Data Constraint: </w:t>
      </w:r>
      <w:r>
        <w:t>Razorpay remains a private company without published audited financial statements as of May 2026. FY25 revenue of Rs 3,783 crore (65% YoY growth) and net loss of Rs 1,209 crore (including one-off ESOP and domicile-flip costs) are derived from Registrar of Companies filings. The IPO DRHP — when publicly filed with SEBI following the confidential filing phase — will materially improve data availability.</w:t>
      </w:r>
    </w:p>
    <w:p w:rsidR="009038FA" w:rsidRDefault="00193907">
      <w:pPr>
        <w:spacing w:before="60" w:after="80" w:line="360" w:lineRule="auto"/>
        <w:jc w:val="both"/>
      </w:pPr>
      <w:r>
        <w:rPr>
          <w:b/>
          <w:bCs/>
        </w:rPr>
        <w:t xml:space="preserve">IPO Timing Uncertainty: </w:t>
      </w:r>
      <w:r>
        <w:t>Razorpay filed confidentially with SEBI in late April 2026 targeting USD 600–700 million at a USD 5–6 billion valuation, a meaningful discount from its 2021 peak of USD 7.5 billion. Market conditions (cautious public investor sentiment, PhonePe IPO pause) may delay or reprice the offering. The IPO outcome is treated as a forward-looking event and is not incorporated into quantitative findings.</w:t>
      </w:r>
    </w:p>
    <w:p w:rsidR="009038FA" w:rsidRDefault="00193907">
      <w:pPr>
        <w:spacing w:before="60" w:after="80" w:line="360" w:lineRule="auto"/>
        <w:jc w:val="both"/>
      </w:pPr>
      <w:r>
        <w:rPr>
          <w:b/>
          <w:bCs/>
        </w:rPr>
        <w:t xml:space="preserve">Regulatory Currency: </w:t>
      </w:r>
      <w:r>
        <w:t>The Indian fintech regulatory framework evolved materially in 2025–26. Key updates include: RBI Digital Lending Directions 2025 (replacing the 2022 version); Digital Personal Data Protection Act 2025 (superseding the 2023 Act); revised NPCI P2M transaction limits (September 2025); and RBI PA licence renewal conditions. All regulatory references reflect the May 2026 position.</w:t>
      </w:r>
    </w:p>
    <w:p w:rsidR="009038FA" w:rsidRDefault="00193907">
      <w:pPr>
        <w:spacing w:before="60" w:after="80" w:line="360" w:lineRule="auto"/>
        <w:jc w:val="both"/>
      </w:pPr>
      <w:r>
        <w:rPr>
          <w:b/>
          <w:bCs/>
        </w:rPr>
        <w:t xml:space="preserve">Agentic AI Novelty: </w:t>
      </w:r>
      <w:r>
        <w:t>Razorpay's Agent Studio (March 2026), built on Anthropic's Claude Agent SDK, represents genuinely new territory. Peer-reviewed academic literature on agentic AI in payments infrastructure does not yet exist; findings in this domain rely on product documentation and press releases and should be treated as exploratory. Primary empirical evaluation of agent performance outcomes awaits future research.</w:t>
      </w:r>
    </w:p>
    <w:p w:rsidR="009038FA" w:rsidRDefault="00193907">
      <w:pPr>
        <w:spacing w:before="60" w:after="80" w:line="360" w:lineRule="auto"/>
        <w:jc w:val="both"/>
      </w:pPr>
      <w:r>
        <w:rPr>
          <w:b/>
          <w:bCs/>
        </w:rPr>
        <w:t xml:space="preserve">Generalisability Constraint: </w:t>
      </w:r>
      <w:r>
        <w:t>The DELTA Model of FinTech Competitive Advantage is empirically grounded in Razorpay's case and partially corroborated by global comparators (Stripe, Nubank, Alipay). Broader multi-case validation is required before its generalisability claims are fully established.</w:t>
      </w:r>
    </w:p>
    <w:p w:rsidR="009038FA" w:rsidRDefault="009038FA">
      <w:pPr>
        <w:pBdr>
          <w:bottom w:val="single" w:sz="6" w:space="4" w:color="2E5090"/>
        </w:pBdr>
        <w:spacing w:before="160" w:after="80"/>
        <w:jc w:val="both"/>
      </w:pPr>
    </w:p>
    <w:p w:rsidR="009038FA" w:rsidRDefault="00193907">
      <w:pPr>
        <w:spacing w:before="320" w:after="160" w:line="360" w:lineRule="auto"/>
      </w:pPr>
      <w:r>
        <w:rPr>
          <w:b/>
          <w:bCs/>
          <w:color w:val="1F3864"/>
          <w:sz w:val="28"/>
          <w:szCs w:val="28"/>
        </w:rPr>
        <w:t>4.  Work Plan and Methodology</w:t>
      </w:r>
    </w:p>
    <w:p w:rsidR="009038FA" w:rsidRDefault="00193907">
      <w:pPr>
        <w:spacing w:before="80" w:after="100" w:line="360" w:lineRule="auto"/>
        <w:jc w:val="both"/>
      </w:pPr>
      <w:r>
        <w:t>The project adopts a mixed-methods, explanatory case study design grounded in a pragmatist research philosophy. The qualitative strand provides theoretical depth through structured literature synthesis, regulatory document analysis, and strategic framework application. The quantitative strand provides empirical grounding through updated market data (through May 2026), Razorpay's disclosed performance metrics, Power BI dashboard analysis, and AI/ML model design. Both strands are integrated across six structured phases.</w:t>
      </w:r>
    </w:p>
    <w:p w:rsidR="009038FA" w:rsidRDefault="009038FA">
      <w:pPr>
        <w:spacing w:before="40" w:after="40"/>
        <w:jc w:val="both"/>
      </w:pP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3147"/>
        <w:gridCol w:w="3232"/>
      </w:tblGrid>
      <w:tr w:rsidR="009038FA">
        <w:trPr>
          <w:tblHeader/>
        </w:trPr>
        <w:tc>
          <w:tcPr>
            <w:tcW w:w="2126"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Phase / Timeline</w:t>
            </w:r>
          </w:p>
        </w:tc>
        <w:tc>
          <w:tcPr>
            <w:tcW w:w="3147"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Methodology &amp; Tools</w:t>
            </w:r>
          </w:p>
        </w:tc>
        <w:tc>
          <w:tcPr>
            <w:tcW w:w="3232" w:type="dxa"/>
            <w:tcBorders>
              <w:top w:val="single" w:sz="6" w:space="0" w:color="AAAAAA"/>
              <w:left w:val="single" w:sz="6" w:space="0" w:color="AAAAAA"/>
              <w:bottom w:val="single" w:sz="6" w:space="0" w:color="AAAAAA"/>
              <w:right w:val="single" w:sz="6" w:space="0" w:color="AAAAAA"/>
            </w:tcBorders>
            <w:shd w:val="clear" w:color="auto" w:fill="1F3864"/>
            <w:tcMar>
              <w:top w:w="80" w:type="dxa"/>
              <w:left w:w="120" w:type="dxa"/>
              <w:bottom w:w="80" w:type="dxa"/>
              <w:right w:w="120" w:type="dxa"/>
            </w:tcMar>
            <w:vAlign w:val="center"/>
          </w:tcPr>
          <w:p w:rsidR="009038FA" w:rsidRDefault="00193907">
            <w:pPr>
              <w:spacing w:before="40" w:after="40"/>
            </w:pPr>
            <w:r>
              <w:rPr>
                <w:b/>
                <w:bCs/>
                <w:color w:val="FFFFFF"/>
                <w:sz w:val="22"/>
                <w:szCs w:val="22"/>
              </w:rPr>
              <w:t>Intended Result</w:t>
            </w:r>
          </w:p>
        </w:tc>
      </w:tr>
      <w:tr w:rsidR="009038FA">
        <w:tc>
          <w:tcPr>
            <w:tcW w:w="212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Phase 1 Literature Review (Completed; Updated Jun 2026)</w:t>
            </w:r>
          </w:p>
        </w:tc>
        <w:tc>
          <w:tcPr>
            <w:tcW w:w="314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Systematic review of 20+ sources (JSTOR, Google Scholar, SSRN, 2000–2026); IMARC Group 2026; PwC India 2026; RBI Digital Lending Directions 2025; NPCI UPI data through April 2026.</w:t>
            </w:r>
          </w:p>
        </w:tc>
        <w:tc>
          <w:tcPr>
            <w:tcW w:w="3232"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Synthesised conceptual foundation confirming research gap — especially absence of academic literature on (a) agentic AI in payments and (b) Razorpay's 2026 platform evolution.</w:t>
            </w:r>
          </w:p>
        </w:tc>
      </w:tr>
      <w:tr w:rsidR="009038FA">
        <w:tc>
          <w:tcPr>
            <w:tcW w:w="21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Phase 2 Product Suite Analysis (Updated May 2026)</w:t>
            </w:r>
          </w:p>
        </w:tc>
        <w:tc>
          <w:tcPr>
            <w:tcW w:w="314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Analysis of developer docs, RoC FY25 filings (Rs 3,783 cr revenue; Rs 1,209 cr net loss), merchant case studies. Products catalogued across 7 categories including Agent Studio &amp; OpenAI Codex integration.</w:t>
            </w:r>
          </w:p>
        </w:tc>
        <w:tc>
          <w:tcPr>
            <w:tcW w:w="3232"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Comprehensive company profile showing how Razorpay's agentic AI suite deepens all 5 DELTA Model stages and adds an AI-native competitive advantage layer.</w:t>
            </w:r>
          </w:p>
        </w:tc>
      </w:tr>
      <w:tr w:rsidR="009038FA">
        <w:tc>
          <w:tcPr>
            <w:tcW w:w="212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Phase 3 API &amp; Agentic AI Analysis (Jul 2026)</w:t>
            </w:r>
          </w:p>
        </w:tc>
        <w:tc>
          <w:tcPr>
            <w:tcW w:w="314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 xml:space="preserve">Platform economics analysis (Rochet-Tirole; Parker-Van Alstyne; Boudreau-Lakhani). </w:t>
            </w:r>
            <w:r w:rsidR="0073397C">
              <w:rPr>
                <w:sz w:val="22"/>
                <w:szCs w:val="22"/>
              </w:rPr>
              <w:t>Churn model ROC-AUC 0.967, F1 0.962</w:t>
            </w:r>
            <w:r>
              <w:rPr>
                <w:sz w:val="22"/>
                <w:szCs w:val="22"/>
              </w:rPr>
              <w:t xml:space="preserve">; </w:t>
            </w:r>
            <w:r w:rsidR="0073397C">
              <w:rPr>
                <w:sz w:val="22"/>
                <w:szCs w:val="22"/>
              </w:rPr>
              <w:t>Adoption model ROC-AUC 0.963, F1 0.866</w:t>
            </w:r>
            <w:r>
              <w:rPr>
                <w:sz w:val="22"/>
                <w:szCs w:val="22"/>
              </w:rPr>
              <w:t>. Power BI dashboards refreshed with Apr 2026 UPI data.</w:t>
            </w:r>
          </w:p>
        </w:tc>
        <w:tc>
          <w:tcPr>
            <w:tcW w:w="3232"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 xml:space="preserve">Quantified evidence that API architecture and agentic AI compound network effects and switching costs — </w:t>
            </w:r>
            <w:r w:rsidR="0073397C">
              <w:rPr>
                <w:sz w:val="22"/>
                <w:szCs w:val="22"/>
              </w:rPr>
              <w:t>retention and decision-support strengthening, while direct income growth remains conditional on provider activity.</w:t>
            </w:r>
          </w:p>
        </w:tc>
      </w:tr>
      <w:tr w:rsidR="009038FA">
        <w:tc>
          <w:tcPr>
            <w:tcW w:w="21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Phase 4 Embedded Finance Evaluation (Jul 2026)</w:t>
            </w:r>
          </w:p>
        </w:tc>
        <w:tc>
          <w:tcPr>
            <w:tcW w:w="314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5-domain data examination: (1) 1B quarterly txns, USD 45B TPV; (2) UPI 50.49% of mix; (3) Enterprise merchant 4.2 products, 94% retention; (4) RazorpayX 40,000+ payroll clients; (5) Capital 10-sec disbursals. Case studies: Dunzo &amp; Urban Company.</w:t>
            </w:r>
          </w:p>
        </w:tc>
        <w:tc>
          <w:tcPr>
            <w:tcW w:w="3232"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73397C">
            <w:pPr>
              <w:spacing w:before="40" w:after="40"/>
            </w:pPr>
            <w:r>
              <w:rPr>
                <w:sz w:val="22"/>
                <w:szCs w:val="22"/>
              </w:rPr>
              <w:t>Evidence that embedded finance can improve credit access, liquidity stability, settlement visibility, and provider retention.</w:t>
            </w:r>
          </w:p>
        </w:tc>
      </w:tr>
      <w:tr w:rsidR="009038FA">
        <w:tc>
          <w:tcPr>
            <w:tcW w:w="2126"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Phase 5 DELTA Model Validation (Aug 2026)</w:t>
            </w:r>
          </w:p>
        </w:tc>
        <w:tc>
          <w:tcPr>
            <w:tcW w:w="3147"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Triangulation across literature, quantitative data, and 2025–26 developments. DELTA Model re-assessed across all 5 stages + Stage A+ (Agentic Intelligence). Compared against Stripe, Nubank, Alipay.</w:t>
            </w:r>
          </w:p>
        </w:tc>
        <w:tc>
          <w:tcPr>
            <w:tcW w:w="3232" w:type="dxa"/>
            <w:tcBorders>
              <w:top w:val="single" w:sz="6" w:space="0" w:color="AAAAAA"/>
              <w:left w:val="single" w:sz="6" w:space="0" w:color="AAAAAA"/>
              <w:bottom w:val="single" w:sz="6" w:space="0" w:color="AAAAAA"/>
              <w:right w:val="single" w:sz="6" w:space="0" w:color="AAAAAA"/>
            </w:tcBorders>
            <w:shd w:val="clear" w:color="auto" w:fill="EEF2F7"/>
            <w:tcMar>
              <w:top w:w="80" w:type="dxa"/>
              <w:left w:w="120" w:type="dxa"/>
              <w:bottom w:w="80" w:type="dxa"/>
              <w:right w:w="120" w:type="dxa"/>
            </w:tcMar>
            <w:vAlign w:val="center"/>
          </w:tcPr>
          <w:p w:rsidR="009038FA" w:rsidRDefault="00193907">
            <w:pPr>
              <w:spacing w:before="40" w:after="40"/>
            </w:pPr>
            <w:r>
              <w:rPr>
                <w:sz w:val="22"/>
                <w:szCs w:val="22"/>
              </w:rPr>
              <w:t>Validated and extended DELTA Model with Stage A+ (Agentic Intelligence) — demonstrating Razorpay's competitive flywheel is accelerating. Recommendations for 4 stakeholder groups.</w:t>
            </w:r>
          </w:p>
        </w:tc>
      </w:tr>
      <w:tr w:rsidR="009038FA">
        <w:tc>
          <w:tcPr>
            <w:tcW w:w="21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Phase 6 Project Report (May–Aug 2026)</w:t>
            </w:r>
          </w:p>
        </w:tc>
        <w:tc>
          <w:tcPr>
            <w:tcW w:w="3147"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Creswell &amp; Plano Clark (2018) mixed-methods sequential design. 10 chapters + 3 annexures. All metrics updated to May 2026. APA 7th edition citations. DPDP Act 2025 compliance. Submission: August 2026.</w:t>
            </w:r>
          </w:p>
        </w:tc>
        <w:tc>
          <w:tcPr>
            <w:tcW w:w="3232"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vAlign w:val="center"/>
          </w:tcPr>
          <w:p w:rsidR="009038FA" w:rsidRDefault="00193907">
            <w:pPr>
              <w:spacing w:before="40" w:after="40"/>
            </w:pPr>
            <w:r>
              <w:rPr>
                <w:sz w:val="22"/>
                <w:szCs w:val="22"/>
              </w:rPr>
              <w:t>Submission-ready MBA Project Report — the most comprehensive academic analysis of Razorpay through May 2026, including the first academic treatment of agentic AI as fintech competitive advantage.</w:t>
            </w:r>
          </w:p>
        </w:tc>
      </w:tr>
    </w:tbl>
    <w:p w:rsidR="009038FA" w:rsidRDefault="00193907">
      <w:pPr>
        <w:spacing w:before="80" w:after="160"/>
        <w:jc w:val="center"/>
      </w:pPr>
      <w:r>
        <w:rPr>
          <w:b/>
          <w:bCs/>
          <w:sz w:val="22"/>
          <w:szCs w:val="22"/>
        </w:rPr>
        <w:t xml:space="preserve">Table 4.1  </w:t>
      </w:r>
      <w:r>
        <w:rPr>
          <w:i/>
          <w:iCs/>
          <w:sz w:val="22"/>
          <w:szCs w:val="22"/>
        </w:rPr>
        <w:t>Work Plan and Methodology Summary — Six-Phase Research Design</w:t>
      </w:r>
    </w:p>
    <w:p w:rsidR="009038FA" w:rsidRDefault="009038FA">
      <w:pPr>
        <w:spacing w:before="40" w:after="40"/>
        <w:jc w:val="both"/>
      </w:pPr>
    </w:p>
    <w:p w:rsidR="009038FA" w:rsidRDefault="00193907">
      <w:pPr>
        <w:spacing w:before="180" w:after="80" w:line="360" w:lineRule="auto"/>
      </w:pPr>
      <w:r>
        <w:rPr>
          <w:b/>
          <w:bCs/>
          <w:u w:val="single"/>
        </w:rPr>
        <w:t>Research Design and Analytical Frameworks</w:t>
      </w:r>
    </w:p>
    <w:p w:rsidR="009038FA" w:rsidRDefault="00193907">
      <w:pPr>
        <w:spacing w:before="80" w:after="100" w:line="360" w:lineRule="auto"/>
        <w:jc w:val="both"/>
      </w:pPr>
      <w:r>
        <w:t>The study applies four strategic analytical frameworks: (1) PESTLE Analysis — mapping India's macro-environmental factors; (2) Porter's Five Forces — assessing competitive intensity in India's B2B payments sector; (3) SWOT Analysis — evaluating Razorpay's internal capabilities and external environment; and (4) the original DELTA Model of FinTech Competitive Advantage (Data → Embedded Finance → Lock-in → Technology → Advancement), extended in 2026 with Stage A+ (Agentic Intelligence).</w:t>
      </w:r>
    </w:p>
    <w:p w:rsidR="009038FA" w:rsidRDefault="0073397C">
      <w:pPr>
        <w:spacing w:before="80" w:after="100" w:line="360" w:lineRule="auto"/>
        <w:jc w:val="both"/>
      </w:pPr>
      <w:r>
        <w:t>Quantitative components include four AI/ML predictive models</w:t>
      </w:r>
      <w:r w:rsidR="00193907">
        <w:t xml:space="preserve">: </w:t>
      </w:r>
      <w:r>
        <w:t>merchant churn, adoption, loan default, and income growth prediction models.</w:t>
      </w:r>
      <w:r w:rsidR="00193907">
        <w:t xml:space="preserve"> SHAP (SHapley Additive exPlanations) analysis is applied for interpretability. Power BI dashboards using a star-schema data architecture with DAX measures provide CFO-level and board-level reporting across five analytical domains.</w:t>
      </w:r>
    </w:p>
    <w:p w:rsidR="009038FA" w:rsidRDefault="00193907">
      <w:pPr>
        <w:spacing w:before="80" w:after="100" w:line="360" w:lineRule="auto"/>
        <w:jc w:val="both"/>
      </w:pPr>
      <w:r>
        <w:t>Methodological rigour is ensured through data triangulation across three source categories: (1) empirically verified data — NPCI statistics, RoC filings, RBI circulars; (2) secondary analyst estimates — IMARC Group, PwC, McKinsey, CoinLaw; and (3) exploratory findings — Agent Studio operational outcomes and IPO trajectory, which are explicitly labelled as forward-looking. All analysis complies with the Digital Personal Data Protection Act 2025.</w:t>
      </w:r>
    </w:p>
    <w:p w:rsidR="009038FA" w:rsidRDefault="009038FA">
      <w:pPr>
        <w:pBdr>
          <w:bottom w:val="single" w:sz="6" w:space="4" w:color="2E5090"/>
        </w:pBdr>
        <w:spacing w:before="160" w:after="80"/>
        <w:jc w:val="both"/>
      </w:pPr>
    </w:p>
    <w:p w:rsidR="0042565A" w:rsidRDefault="0042565A">
      <w:pPr>
        <w:spacing w:before="320" w:after="160" w:line="360" w:lineRule="auto"/>
        <w:rPr>
          <w:b/>
          <w:bCs/>
          <w:color w:val="1F3864"/>
          <w:sz w:val="28"/>
          <w:szCs w:val="28"/>
        </w:rPr>
      </w:pPr>
    </w:p>
    <w:p w:rsidR="009038FA" w:rsidRDefault="00193907">
      <w:pPr>
        <w:spacing w:before="320" w:after="160" w:line="360" w:lineRule="auto"/>
      </w:pPr>
      <w:r>
        <w:rPr>
          <w:b/>
          <w:bCs/>
          <w:color w:val="1F3864"/>
          <w:sz w:val="28"/>
          <w:szCs w:val="28"/>
        </w:rPr>
        <w:t>5.  References</w:t>
      </w:r>
    </w:p>
    <w:p w:rsidR="009038FA" w:rsidRDefault="00193907">
      <w:pPr>
        <w:spacing w:before="80" w:after="100" w:line="360" w:lineRule="auto"/>
        <w:jc w:val="both"/>
      </w:pPr>
      <w:r>
        <w:t>All references are presented in APA 7th edition format, updated through May 2026. Where earlier editions have been superseded (NASSCOM 2023, NPCI 2024, RBI Digital Lending Guidelines 2022, DPDP Act 2023), the current versions are cited.</w:t>
      </w:r>
    </w:p>
    <w:p w:rsidR="009038FA" w:rsidRDefault="009038FA">
      <w:pPr>
        <w:spacing w:before="40" w:after="40"/>
        <w:jc w:val="both"/>
      </w:pPr>
    </w:p>
    <w:p w:rsidR="009038FA" w:rsidRDefault="00193907">
      <w:pPr>
        <w:spacing w:before="40" w:after="80"/>
        <w:ind w:left="720" w:hanging="720"/>
        <w:jc w:val="both"/>
      </w:pPr>
      <w:r>
        <w:t>Arner, D. W., Barberis, J. N., &amp; Buckley, R. P. (2016). The evolution of Fintech: A new post-crisis paradigm? Georgetown Journal of International Law, 47(4), 1271–1319.</w:t>
      </w:r>
    </w:p>
    <w:p w:rsidR="009038FA" w:rsidRDefault="00193907">
      <w:pPr>
        <w:spacing w:before="40" w:after="80"/>
        <w:ind w:left="720" w:hanging="720"/>
        <w:jc w:val="both"/>
      </w:pPr>
      <w:r>
        <w:t>Business Standard. (2026, April 6). Razorpay partners OpenAI to enable instant payments in AI-built apps. Business Standard. https://www.business-standard.com</w:t>
      </w:r>
    </w:p>
    <w:p w:rsidR="009038FA" w:rsidRDefault="00193907">
      <w:pPr>
        <w:spacing w:before="40" w:after="80"/>
        <w:ind w:left="720" w:hanging="720"/>
        <w:jc w:val="both"/>
      </w:pPr>
      <w:r>
        <w:t>Christensen, C. M. (1997). The innovator's dilemma: When new technologies cause great firms to fail. Harvard Business Review Press.</w:t>
      </w:r>
    </w:p>
    <w:p w:rsidR="009038FA" w:rsidRDefault="00193907">
      <w:pPr>
        <w:spacing w:before="40" w:after="80"/>
        <w:ind w:left="720" w:hanging="720"/>
        <w:jc w:val="both"/>
      </w:pPr>
      <w:r>
        <w:t>Davidovic, S., &amp; Tourpe, H. (2026). How agentic AI will reshape payments. IMF Notes, 2026(004). https://doi.org/10.5089/9781513533308.068</w:t>
      </w:r>
    </w:p>
    <w:p w:rsidR="009038FA" w:rsidRDefault="00193907">
      <w:pPr>
        <w:spacing w:before="40" w:after="80"/>
        <w:ind w:left="720" w:hanging="720"/>
        <w:jc w:val="both"/>
      </w:pPr>
      <w:r>
        <w:t>Fortune Business Insights. (2026). FinTech market overview: Size, share, value and growth 2034. Fortune Business Insights.</w:t>
      </w:r>
    </w:p>
    <w:p w:rsidR="009038FA" w:rsidRDefault="00193907">
      <w:pPr>
        <w:spacing w:before="40" w:after="80"/>
        <w:ind w:left="720" w:hanging="720"/>
        <w:jc w:val="both"/>
      </w:pPr>
      <w:r>
        <w:t>IMARC Group. (2026). India fintech market size, share, trends and forecast 2026–2034. IMARC Group Research Reports.</w:t>
      </w:r>
    </w:p>
    <w:p w:rsidR="009038FA" w:rsidRDefault="00193907">
      <w:pPr>
        <w:spacing w:before="40" w:after="80"/>
        <w:ind w:left="720" w:hanging="720"/>
        <w:jc w:val="both"/>
      </w:pPr>
      <w:r>
        <w:t>McKinsey &amp; Company. (2023). The embedded finance opportunity. McKinsey Global Institute.</w:t>
      </w:r>
    </w:p>
    <w:p w:rsidR="009038FA" w:rsidRDefault="00193907">
      <w:pPr>
        <w:spacing w:before="40" w:after="80"/>
        <w:ind w:left="720" w:hanging="720"/>
        <w:jc w:val="both"/>
      </w:pPr>
      <w:r>
        <w:t>NPCI. (2026, May 4). UPI transaction statistics — April 2026. National Payments Corporation of India. https://www.npci.org.in/product/upi/product-statistics</w:t>
      </w:r>
    </w:p>
    <w:p w:rsidR="009038FA" w:rsidRDefault="00193907">
      <w:pPr>
        <w:spacing w:before="40" w:after="80"/>
        <w:ind w:left="720" w:hanging="720"/>
        <w:jc w:val="both"/>
      </w:pPr>
      <w:r>
        <w:t>Outlook Business. (2026, April 20). Razorpay eyes confidential IPO filing at USD 5–6 billion valuation. Outlook Business.</w:t>
      </w:r>
    </w:p>
    <w:p w:rsidR="009038FA" w:rsidRDefault="00193907">
      <w:pPr>
        <w:spacing w:before="40" w:after="80"/>
        <w:ind w:left="720" w:hanging="720"/>
        <w:jc w:val="both"/>
      </w:pPr>
      <w:r>
        <w:t>Razorpay. (2026, March 12). Agent Studio: AI agents by Razorpay. Razorpay Blog. https://razorpay.com/blog/agent-studio-ai-agents-by-razorpay/</w:t>
      </w:r>
    </w:p>
    <w:p w:rsidR="009038FA" w:rsidRDefault="00193907">
      <w:pPr>
        <w:spacing w:before="40" w:after="80"/>
        <w:ind w:left="720" w:hanging="720"/>
        <w:jc w:val="both"/>
      </w:pPr>
      <w:r>
        <w:t>Reserve Bank of India. (2020). Guidelines on regulation of payment aggregators and payment gateways. Circular DPSS.CO.PD.No.1810/02.14.008/2019-20.</w:t>
      </w:r>
    </w:p>
    <w:p w:rsidR="009038FA" w:rsidRDefault="00193907">
      <w:pPr>
        <w:spacing w:before="40" w:after="80"/>
        <w:ind w:left="720" w:hanging="720"/>
        <w:jc w:val="both"/>
      </w:pPr>
      <w:r>
        <w:t>Reserve Bank of India. (2025). Digital lending directions, 2025. RBI Circular.</w:t>
      </w:r>
    </w:p>
    <w:p w:rsidR="009038FA" w:rsidRDefault="00193907">
      <w:pPr>
        <w:spacing w:before="40" w:after="80"/>
        <w:ind w:left="720" w:hanging="720"/>
        <w:jc w:val="both"/>
      </w:pPr>
      <w:r>
        <w:t>Rochet, J. C., &amp; Tirole, J. (2003). Platform competition in two-sided markets. Journal of the European Economic Association, 1(4), 990–1029.</w:t>
      </w:r>
    </w:p>
    <w:p w:rsidR="009038FA" w:rsidRDefault="00193907">
      <w:pPr>
        <w:spacing w:before="40" w:after="80"/>
        <w:ind w:left="720" w:hanging="720"/>
        <w:jc w:val="both"/>
      </w:pPr>
      <w:r>
        <w:t>Thakor, A. V. (2020). Fintech and banking: What do we know? Journal of Financial Intermediation, 41, 100833.</w:t>
      </w:r>
    </w:p>
    <w:p w:rsidR="009038FA" w:rsidRDefault="00193907">
      <w:pPr>
        <w:spacing w:before="40" w:after="80"/>
        <w:ind w:left="720" w:hanging="720"/>
        <w:jc w:val="both"/>
      </w:pPr>
      <w:r>
        <w:t>World Bank. (2022). Closing the SME finance gap: New evidence from the IFC enterprise survey. World Bank Group SME Finance Forum.</w:t>
      </w:r>
    </w:p>
    <w:p w:rsidR="009038FA" w:rsidRDefault="00193907">
      <w:pPr>
        <w:spacing w:before="40" w:after="80"/>
        <w:ind w:left="720" w:hanging="720"/>
        <w:jc w:val="both"/>
      </w:pPr>
      <w:r>
        <w:t>Zetzsche, D. A., Buckley, R. P., Arner, D. W., &amp; Barberis, J. N. (2017). Regulating a revolution: From regulatory sandboxes to smart regulation. Fordham Journal of Corporate &amp; Financial Law, 23(1), 31–103.</w:t>
      </w:r>
    </w:p>
    <w:p w:rsidR="009038FA" w:rsidRDefault="009038FA">
      <w:pPr>
        <w:pBdr>
          <w:bottom w:val="single" w:sz="6" w:space="4" w:color="2E5090"/>
        </w:pBdr>
        <w:spacing w:before="160" w:after="80"/>
        <w:jc w:val="both"/>
      </w:pPr>
    </w:p>
    <w:p w:rsidR="00DA4E79" w:rsidRDefault="00DA4E79">
      <w:pPr>
        <w:spacing w:before="320" w:after="160" w:line="360" w:lineRule="auto"/>
        <w:rPr>
          <w:b/>
          <w:bCs/>
          <w:color w:val="1F3864"/>
          <w:sz w:val="28"/>
          <w:szCs w:val="28"/>
        </w:rPr>
      </w:pPr>
    </w:p>
    <w:p w:rsidR="009038FA" w:rsidRDefault="00193907">
      <w:pPr>
        <w:spacing w:before="320" w:after="160" w:line="360" w:lineRule="auto"/>
      </w:pPr>
      <w:r>
        <w:rPr>
          <w:b/>
          <w:bCs/>
          <w:color w:val="1F3864"/>
          <w:sz w:val="28"/>
          <w:szCs w:val="28"/>
        </w:rPr>
        <w:t>6.  Anticipated Benefits</w:t>
      </w:r>
    </w:p>
    <w:p w:rsidR="009038FA" w:rsidRDefault="00193907">
      <w:pPr>
        <w:spacing w:before="80" w:after="100" w:line="360" w:lineRule="auto"/>
        <w:jc w:val="both"/>
      </w:pPr>
      <w:r>
        <w:t>The anticipated benefits of this project are grounded in three evidence-based arguments: (1) this is the first comprehensive academic treatment of Razorpay's full-stack platform evolution through 2026, incorporating agentic AI as a competitive dimension; (2) it produces an original generalisable framework — the DELTA Model, extended to include Agentic Intelligence — applicable to any API-first fintech platform globally; and (3) it draws on empirical data from the world's largest real-time payments ecosystem at its most consequential moment, as UPI crosses 22 billion monthly transactions and AI agents begin autonomously managing financial operations.</w:t>
      </w:r>
    </w:p>
    <w:p w:rsidR="009038FA" w:rsidRDefault="009038FA">
      <w:pPr>
        <w:spacing w:before="40" w:after="40"/>
        <w:jc w:val="both"/>
      </w:pPr>
    </w:p>
    <w:p w:rsidR="009038FA" w:rsidRDefault="00193907">
      <w:pPr>
        <w:spacing w:before="180" w:after="80" w:line="360" w:lineRule="auto"/>
      </w:pPr>
      <w:r>
        <w:rPr>
          <w:b/>
          <w:bCs/>
          <w:u w:val="single"/>
        </w:rPr>
        <w:t>Academic Benefits</w:t>
      </w:r>
    </w:p>
    <w:p w:rsidR="009038FA" w:rsidRDefault="00193907">
      <w:pPr>
        <w:pStyle w:val="ListParagraph"/>
        <w:numPr>
          <w:ilvl w:val="0"/>
          <w:numId w:val="2"/>
        </w:numPr>
        <w:spacing w:before="40" w:after="80" w:line="360" w:lineRule="auto"/>
      </w:pPr>
      <w:r>
        <w:t>Advances the application of disruptive innovation theory (Christensen), platform economics (Rochet-Tirole), and switching-cost theory (Klemperer) to India's agentic-AI-enhanced fintech ecosystem — a context largely absent from existing academic literature.</w:t>
      </w:r>
    </w:p>
    <w:p w:rsidR="009038FA" w:rsidRDefault="00193907">
      <w:pPr>
        <w:pStyle w:val="ListParagraph"/>
        <w:numPr>
          <w:ilvl w:val="0"/>
          <w:numId w:val="2"/>
        </w:numPr>
        <w:spacing w:before="40" w:after="80" w:line="360" w:lineRule="auto"/>
      </w:pPr>
      <w:r>
        <w:t>Introduces the extended DELTA Model (Data → Embedded Finance → Lock-in → Technology → Advancement + Agentic Intelligence) as an original academic contribution — the first framework to incorporate autonomous AI agents as a source of fintech competitive advantage.</w:t>
      </w:r>
    </w:p>
    <w:p w:rsidR="009038FA" w:rsidRDefault="00193907">
      <w:pPr>
        <w:pStyle w:val="ListParagraph"/>
        <w:numPr>
          <w:ilvl w:val="0"/>
          <w:numId w:val="2"/>
        </w:numPr>
        <w:spacing w:before="40" w:after="80" w:line="360" w:lineRule="auto"/>
      </w:pPr>
      <w:r>
        <w:t>Provides a methodologically rigorous mixed-methods case study template for future research on platform-based industries undergoing AI-driven transformation — applicable beyond fintech to healthcare technology, edtech, and B2B SaaS ecosystems.</w:t>
      </w:r>
    </w:p>
    <w:p w:rsidR="009038FA" w:rsidRDefault="00193907">
      <w:pPr>
        <w:pStyle w:val="ListParagraph"/>
        <w:numPr>
          <w:ilvl w:val="0"/>
          <w:numId w:val="2"/>
        </w:numPr>
        <w:spacing w:before="40" w:after="80" w:line="360" w:lineRule="auto"/>
      </w:pPr>
      <w:r>
        <w:t>Constitutes the first academic study to document how an MCP Server integration (Razorpay–OpenAI Codex, April 2026) can collapse developer payment-infrastructure setup from days to under five minutes — a paradigm shift in developer-side fintech adoption with significant platform economics implications.</w:t>
      </w:r>
    </w:p>
    <w:p w:rsidR="009038FA" w:rsidRDefault="009038FA">
      <w:pPr>
        <w:spacing w:before="40" w:after="40"/>
        <w:jc w:val="both"/>
      </w:pPr>
    </w:p>
    <w:p w:rsidR="00DA4E79" w:rsidRDefault="00DA4E79">
      <w:pPr>
        <w:spacing w:before="180" w:after="80" w:line="360" w:lineRule="auto"/>
        <w:rPr>
          <w:b/>
          <w:bCs/>
          <w:u w:val="single"/>
        </w:rPr>
      </w:pPr>
    </w:p>
    <w:p w:rsidR="009038FA" w:rsidRDefault="00193907">
      <w:pPr>
        <w:spacing w:before="180" w:after="80" w:line="360" w:lineRule="auto"/>
      </w:pPr>
      <w:r>
        <w:rPr>
          <w:b/>
          <w:bCs/>
          <w:u w:val="single"/>
        </w:rPr>
        <w:t>Industry Benefits</w:t>
      </w:r>
    </w:p>
    <w:p w:rsidR="009038FA" w:rsidRDefault="00193907">
      <w:pPr>
        <w:pStyle w:val="ListParagraph"/>
        <w:numPr>
          <w:ilvl w:val="0"/>
          <w:numId w:val="2"/>
        </w:numPr>
        <w:spacing w:before="40" w:after="80" w:line="360" w:lineRule="auto"/>
      </w:pPr>
      <w:r>
        <w:t>For Razorpay and peer API-first fintech firms: The DELTA Model extension and strategic recommendations provide a structured roadmap for deepening Agentic Intelligence capabilities — particularly autonomous dispute management, AI-driven failed-payment recovery, and MCP-based developer ecosystem expansion. The model also informs the IPO strategy, positioning the USD 5–6 billion listing narrative around sustainable competitive advantage.</w:t>
      </w:r>
    </w:p>
    <w:p w:rsidR="009038FA" w:rsidRDefault="00193907">
      <w:pPr>
        <w:pStyle w:val="ListParagraph"/>
        <w:numPr>
          <w:ilvl w:val="0"/>
          <w:numId w:val="2"/>
        </w:numPr>
        <w:spacing w:before="40" w:after="80" w:line="360" w:lineRule="auto"/>
      </w:pPr>
      <w:r>
        <w:t>For incumbent banks: The BaaS repositioning analysis identifies how banks can convert the fintech displacement threat into cooperative infrastructure revenue — especially relevant as Razorpay's Digital Lending 2.0 (RBI-compliant, 48-hour NBFC onboarding, 10-second disbursals) creates a structural model to serve the USD 530 billion underserved SME credit market.</w:t>
      </w:r>
    </w:p>
    <w:p w:rsidR="009038FA" w:rsidRDefault="00193907">
      <w:pPr>
        <w:pStyle w:val="ListParagraph"/>
        <w:numPr>
          <w:ilvl w:val="0"/>
          <w:numId w:val="2"/>
        </w:numPr>
        <w:spacing w:before="40" w:after="80" w:line="360" w:lineRule="auto"/>
      </w:pPr>
      <w:r>
        <w:t>For enterprise SMEs: The Agent Studio analysis documents concrete operational benefits — autonomous dispute management, failed payment recovery, cash-flow forecasting — translating to measurable reductions in manual finance overhead and faster working capital access (Line of Credit up to Rs 25 lakh at 1.5%/month, no collateral, 10-second disbursal).</w:t>
      </w:r>
    </w:p>
    <w:p w:rsidR="009038FA" w:rsidRDefault="009038FA">
      <w:pPr>
        <w:spacing w:before="40" w:after="40"/>
        <w:jc w:val="both"/>
      </w:pPr>
    </w:p>
    <w:p w:rsidR="009038FA" w:rsidRDefault="00193907">
      <w:pPr>
        <w:spacing w:before="180" w:after="80" w:line="360" w:lineRule="auto"/>
      </w:pPr>
      <w:r>
        <w:rPr>
          <w:b/>
          <w:bCs/>
          <w:u w:val="single"/>
        </w:rPr>
        <w:t>Policy and Societal Benefits</w:t>
      </w:r>
    </w:p>
    <w:p w:rsidR="009038FA" w:rsidRDefault="00193907">
      <w:pPr>
        <w:pStyle w:val="ListParagraph"/>
        <w:numPr>
          <w:ilvl w:val="0"/>
          <w:numId w:val="2"/>
        </w:numPr>
        <w:spacing w:before="40" w:after="80" w:line="360" w:lineRule="auto"/>
      </w:pPr>
      <w:r>
        <w:t>Provides updated empirical evidence — April 2026 UPI data (22.35 billion transactions, 99.2% success rate, 684 banks, 491 million users) and Razorpay's 12 million merchant scale — supporting policy continuity in UPI's zero-MDR architecture and progressive global expansion to 35+ countries.</w:t>
      </w:r>
    </w:p>
    <w:p w:rsidR="009038FA" w:rsidRDefault="00193907">
      <w:pPr>
        <w:pStyle w:val="ListParagraph"/>
        <w:numPr>
          <w:ilvl w:val="0"/>
          <w:numId w:val="2"/>
        </w:numPr>
        <w:spacing w:before="40" w:after="80" w:line="360" w:lineRule="auto"/>
      </w:pPr>
      <w:r>
        <w:t xml:space="preserve">Documents the financial inclusion case for agentic AI in embedded finance: Agent Studio's autonomous cash-flow forecasting and micro-lending integration </w:t>
      </w:r>
      <w:r w:rsidR="0073397C">
        <w:t>may improve credit targeting and liquidity support without proportional human underwriting growth.</w:t>
      </w:r>
    </w:p>
    <w:p w:rsidR="009038FA" w:rsidRDefault="00193907">
      <w:pPr>
        <w:pStyle w:val="ListParagraph"/>
        <w:numPr>
          <w:ilvl w:val="0"/>
          <w:numId w:val="2"/>
        </w:numPr>
        <w:spacing w:before="40" w:after="80" w:line="360" w:lineRule="auto"/>
      </w:pPr>
      <w:r>
        <w:t>Provides a research foundation for RBI and SEBI policy on AI agent governance in payments — a domain where India is advancing rapidly but where regulatory frameworks governing autonomous AI-initiated transactions remain nascent.</w:t>
      </w:r>
    </w:p>
    <w:p w:rsidR="009038FA" w:rsidRDefault="00193907">
      <w:pPr>
        <w:pStyle w:val="ListParagraph"/>
        <w:numPr>
          <w:ilvl w:val="0"/>
          <w:numId w:val="2"/>
        </w:numPr>
        <w:spacing w:before="40" w:after="80" w:line="360" w:lineRule="auto"/>
      </w:pPr>
      <w:r>
        <w:t>Offers India's regulatory model (Payment Aggregator Guidelines, Account Aggregator Framework, AI agent oversight) as a replicable template for comparable developing economies navigating the fintech innovation-stability trilemma (Zetzsche et al., 2017).</w:t>
      </w:r>
    </w:p>
    <w:p w:rsidR="009038FA" w:rsidRDefault="009038FA">
      <w:pPr>
        <w:spacing w:before="40" w:after="40"/>
        <w:jc w:val="both"/>
      </w:pPr>
    </w:p>
    <w:p w:rsidR="009038FA" w:rsidRDefault="00193907">
      <w:pPr>
        <w:pBdr>
          <w:top w:val="single" w:sz="6" w:space="4" w:color="1F3864"/>
        </w:pBdr>
        <w:spacing w:before="160" w:after="80"/>
      </w:pPr>
      <w:r>
        <w:rPr>
          <w:b/>
          <w:bCs/>
          <w:color w:val="1F3864"/>
        </w:rPr>
        <w:t>Summary of Anticipated Benefits — May 2026 Edition</w:t>
      </w:r>
    </w:p>
    <w:p w:rsidR="0073397C" w:rsidRDefault="00193907">
      <w:pPr>
        <w:spacing w:before="80" w:after="100" w:line="360" w:lineRule="auto"/>
        <w:jc w:val="both"/>
      </w:pPr>
      <w:r>
        <w:t xml:space="preserve">In aggregate, this updated project is expected to: (1) produce an extended DELTA Model incorporating Agentic Intelligence as a sixth competitive layer — a generalisable academic contribution applicable to any AI-enabled platform business globally; (2) generate actionable strategic recommendations for four stakeholder groups with FY2026–27 implementation timelines; (3) provide the first academic analysis of Razorpay's OpenAI Codex integration and Agent Studio deployment as sources of competitive advantage and developer-ecosystem lock-in; (4) supply empirical grounding for regulatory policy on autonomous AI in payments; and (5) contribute to India's financial-inclusion agenda for 190 million+ financially underserved adults </w:t>
      </w:r>
      <w:r w:rsidR="0073397C">
        <w:t>by documenting how agentic AI and embedded finance may improve liquidity, retention, and targeted credit access.</w:t>
      </w:r>
    </w:p>
    <w:p w:rsidR="0073397C" w:rsidRDefault="0073397C">
      <w:pPr>
        <w:spacing w:before="80" w:after="100" w:line="360" w:lineRule="auto"/>
        <w:jc w:val="both"/>
      </w:pPr>
    </w:p>
    <w:p w:rsidR="0073397C" w:rsidRDefault="0073397C">
      <w:pPr>
        <w:spacing w:before="80" w:after="100" w:line="360" w:lineRule="auto"/>
        <w:jc w:val="both"/>
      </w:pPr>
      <w:r>
        <w:t>Supervisor Alignment Note - Proposal Updated After Findings Review</w:t>
      </w:r>
    </w:p>
    <w:p w:rsidR="0073397C" w:rsidRDefault="0073397C">
      <w:pPr>
        <w:spacing w:before="80" w:after="100" w:line="360" w:lineRule="auto"/>
        <w:jc w:val="both"/>
      </w:pPr>
      <w:r>
        <w:t>Sections modified: Objective 4, Scope of the Project, Work Plan and Methodology, Quantitative Components, Anticipated Benefits.</w:t>
      </w:r>
    </w:p>
    <w:p w:rsidR="0073397C" w:rsidRDefault="0073397C">
      <w:pPr>
        <w:spacing w:before="80" w:after="100" w:line="360" w:lineRule="auto"/>
        <w:jc w:val="both"/>
      </w:pPr>
      <w:r>
        <w:t>Reason for modification: The final dissertation evidence supports embedded finance as an operational resilience, liquidity, and retention enabler. Direct income growth is conditional and must be interpreted using churn-adjusted and active-provider views.</w:t>
      </w:r>
    </w:p>
    <w:p w:rsidR="0073397C" w:rsidRDefault="0073397C">
      <w:pPr>
        <w:spacing w:before="80" w:after="100" w:line="360" w:lineRule="auto"/>
        <w:jc w:val="both"/>
      </w:pPr>
      <w:r>
        <w:t>Alignment summary: Proposal assumptions about Razorpay's API-first embedded finance platform are supported. Assumptions about automatic provider income growth and national credit-gap compression are partially supported and have been cautiously reframed.</w:t>
      </w:r>
    </w:p>
    <w:p w:rsidR="009038FA" w:rsidRDefault="0073397C">
      <w:pPr>
        <w:spacing w:before="80" w:after="100" w:line="360" w:lineRule="auto"/>
        <w:jc w:val="both"/>
      </w:pPr>
      <w:r>
        <w:t>Submission readiness score after proposal alignment: 86/100.</w:t>
      </w:r>
    </w:p>
    <w:sectPr w:rsidR="009038FA">
      <w:headerReference w:type="default" r:id="rId9"/>
      <w:footerReference w:type="default" r:id="rId10"/>
      <w:pgSz w:w="11906" w:h="16838"/>
      <w:pgMar w:top="1814" w:right="1247" w:bottom="1531" w:left="2154"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7637" w:rsidRDefault="006B7637">
      <w:r>
        <w:separator/>
      </w:r>
    </w:p>
  </w:endnote>
  <w:endnote w:type="continuationSeparator" w:id="0">
    <w:p w:rsidR="006B7637" w:rsidRDefault="006B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FA" w:rsidRDefault="00193907">
    <w:pPr>
      <w:pBdr>
        <w:top w:val="single" w:sz="4" w:space="4" w:color="2E5090"/>
      </w:pBdr>
      <w:spacing w:before="60"/>
      <w:jc w:val="center"/>
    </w:pPr>
    <w:r>
      <w:rPr>
        <w:color w:val="555555"/>
        <w:sz w:val="20"/>
        <w:szCs w:val="20"/>
      </w:rPr>
      <w:t xml:space="preserve">Dr. D. Y. Patil Vidyapeeth, Centre For Online Learning, Pune   |   Page </w:t>
    </w:r>
    <w:r>
      <w:rPr>
        <w:color w:val="555555"/>
        <w:sz w:val="20"/>
        <w:szCs w:val="20"/>
      </w:rPr>
      <w:fldChar w:fldCharType="begin"/>
    </w:r>
    <w:r>
      <w:rPr>
        <w:color w:val="555555"/>
        <w:sz w:val="20"/>
        <w:szCs w:val="20"/>
      </w:rPr>
      <w:instrText>PAGE</w:instrText>
    </w:r>
    <w:r>
      <w:rPr>
        <w:color w:val="555555"/>
        <w:sz w:val="20"/>
        <w:szCs w:val="20"/>
      </w:rPr>
      <w:fldChar w:fldCharType="separate"/>
    </w:r>
    <w:r w:rsidR="0073397C">
      <w:rPr>
        <w:noProof/>
        <w:color w:val="555555"/>
        <w:sz w:val="20"/>
        <w:szCs w:val="20"/>
      </w:rPr>
      <w:t>ii</w:t>
    </w:r>
    <w:r>
      <w:rPr>
        <w:color w:val="555555"/>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FA" w:rsidRDefault="00193907">
    <w:pPr>
      <w:pBdr>
        <w:top w:val="single" w:sz="4" w:space="4" w:color="2E5090"/>
      </w:pBdr>
      <w:spacing w:before="60"/>
      <w:jc w:val="center"/>
    </w:pPr>
    <w:r>
      <w:rPr>
        <w:color w:val="555555"/>
        <w:sz w:val="20"/>
        <w:szCs w:val="20"/>
      </w:rPr>
      <w:t xml:space="preserve">Dr. D. Y. Patil Vidyapeeth, Centre For Online Learning, Pune   |   Page </w:t>
    </w:r>
    <w:r>
      <w:rPr>
        <w:color w:val="555555"/>
        <w:sz w:val="20"/>
        <w:szCs w:val="20"/>
      </w:rPr>
      <w:fldChar w:fldCharType="begin"/>
    </w:r>
    <w:r>
      <w:rPr>
        <w:color w:val="555555"/>
        <w:sz w:val="20"/>
        <w:szCs w:val="20"/>
      </w:rPr>
      <w:instrText>PAGE</w:instrText>
    </w:r>
    <w:r>
      <w:rPr>
        <w:color w:val="555555"/>
        <w:sz w:val="20"/>
        <w:szCs w:val="20"/>
      </w:rPr>
      <w:fldChar w:fldCharType="separate"/>
    </w:r>
    <w:r w:rsidR="0042565A">
      <w:rPr>
        <w:noProof/>
        <w:color w:val="555555"/>
        <w:sz w:val="20"/>
        <w:szCs w:val="20"/>
      </w:rPr>
      <w:t>12</w:t>
    </w:r>
    <w:r>
      <w:rPr>
        <w:color w:val="555555"/>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7637" w:rsidRDefault="006B7637">
      <w:r>
        <w:separator/>
      </w:r>
    </w:p>
  </w:footnote>
  <w:footnote w:type="continuationSeparator" w:id="0">
    <w:p w:rsidR="006B7637" w:rsidRDefault="006B76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FA" w:rsidRDefault="00193907">
    <w:pPr>
      <w:pBdr>
        <w:bottom w:val="single" w:sz="4" w:space="4" w:color="2E5090"/>
      </w:pBdr>
      <w:tabs>
        <w:tab w:val="right" w:pos="8505"/>
      </w:tabs>
      <w:spacing w:after="80"/>
    </w:pPr>
    <w:r>
      <w:rPr>
        <w:i/>
        <w:iCs/>
        <w:color w:val="555555"/>
        <w:sz w:val="20"/>
        <w:szCs w:val="20"/>
      </w:rPr>
      <w:t>Project Proposal — Innovation of Financial Services: A Case Study on Razorpay  |  May 2026</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038FA" w:rsidRDefault="00193907">
    <w:pPr>
      <w:pBdr>
        <w:bottom w:val="single" w:sz="4" w:space="4" w:color="2E5090"/>
      </w:pBdr>
      <w:tabs>
        <w:tab w:val="right" w:pos="8505"/>
      </w:tabs>
      <w:spacing w:after="80"/>
    </w:pPr>
    <w:r>
      <w:rPr>
        <w:i/>
        <w:iCs/>
        <w:color w:val="555555"/>
        <w:sz w:val="20"/>
        <w:szCs w:val="20"/>
      </w:rPr>
      <w:t>Project Proposal — Razorpay FinTech  |  Dr. D. Y. Patil Vidyapeeth, COL Pune</w:t>
    </w:r>
    <w:r>
      <w:rPr>
        <w:i/>
        <w:iCs/>
        <w:color w:val="555555"/>
        <w:sz w:val="20"/>
        <w:szCs w:val="20"/>
      </w:rPr>
      <w:tab/>
      <w:t>May 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BA470E"/>
    <w:multiLevelType w:val="hybridMultilevel"/>
    <w:tmpl w:val="42B8168C"/>
    <w:lvl w:ilvl="0" w:tplc="6B5AB86A">
      <w:start w:val="1"/>
      <w:numFmt w:val="bullet"/>
      <w:lvlText w:val="●"/>
      <w:lvlJc w:val="left"/>
      <w:pPr>
        <w:ind w:left="720" w:hanging="360"/>
      </w:pPr>
    </w:lvl>
    <w:lvl w:ilvl="1" w:tplc="412E0AB4">
      <w:start w:val="1"/>
      <w:numFmt w:val="bullet"/>
      <w:lvlText w:val="○"/>
      <w:lvlJc w:val="left"/>
      <w:pPr>
        <w:ind w:left="1440" w:hanging="360"/>
      </w:pPr>
    </w:lvl>
    <w:lvl w:ilvl="2" w:tplc="FC54C8EA">
      <w:start w:val="1"/>
      <w:numFmt w:val="bullet"/>
      <w:lvlText w:val="■"/>
      <w:lvlJc w:val="left"/>
      <w:pPr>
        <w:ind w:left="2160" w:hanging="360"/>
      </w:pPr>
    </w:lvl>
    <w:lvl w:ilvl="3" w:tplc="4B80C654">
      <w:start w:val="1"/>
      <w:numFmt w:val="bullet"/>
      <w:lvlText w:val="●"/>
      <w:lvlJc w:val="left"/>
      <w:pPr>
        <w:ind w:left="2880" w:hanging="360"/>
      </w:pPr>
    </w:lvl>
    <w:lvl w:ilvl="4" w:tplc="3DE028EE">
      <w:start w:val="1"/>
      <w:numFmt w:val="bullet"/>
      <w:lvlText w:val="○"/>
      <w:lvlJc w:val="left"/>
      <w:pPr>
        <w:ind w:left="3600" w:hanging="360"/>
      </w:pPr>
    </w:lvl>
    <w:lvl w:ilvl="5" w:tplc="C0702F78">
      <w:start w:val="1"/>
      <w:numFmt w:val="bullet"/>
      <w:lvlText w:val="■"/>
      <w:lvlJc w:val="left"/>
      <w:pPr>
        <w:ind w:left="4320" w:hanging="360"/>
      </w:pPr>
    </w:lvl>
    <w:lvl w:ilvl="6" w:tplc="97C03D92">
      <w:start w:val="1"/>
      <w:numFmt w:val="bullet"/>
      <w:lvlText w:val="●"/>
      <w:lvlJc w:val="left"/>
      <w:pPr>
        <w:ind w:left="5040" w:hanging="360"/>
      </w:pPr>
    </w:lvl>
    <w:lvl w:ilvl="7" w:tplc="8C8A03F6">
      <w:start w:val="1"/>
      <w:numFmt w:val="bullet"/>
      <w:lvlText w:val="●"/>
      <w:lvlJc w:val="left"/>
      <w:pPr>
        <w:ind w:left="5760" w:hanging="360"/>
      </w:pPr>
    </w:lvl>
    <w:lvl w:ilvl="8" w:tplc="30B04E80">
      <w:start w:val="1"/>
      <w:numFmt w:val="bullet"/>
      <w:lvlText w:val="●"/>
      <w:lvlJc w:val="left"/>
      <w:pPr>
        <w:ind w:left="6480" w:hanging="360"/>
      </w:pPr>
    </w:lvl>
  </w:abstractNum>
  <w:abstractNum w:abstractNumId="1" w15:restartNumberingAfterBreak="0">
    <w:nsid w:val="564B349C"/>
    <w:multiLevelType w:val="hybridMultilevel"/>
    <w:tmpl w:val="20061006"/>
    <w:lvl w:ilvl="0" w:tplc="10B696FA">
      <w:start w:val="1"/>
      <w:numFmt w:val="decimal"/>
      <w:lvlText w:val="%1."/>
      <w:lvlJc w:val="left"/>
      <w:pPr>
        <w:ind w:left="720" w:hanging="360"/>
      </w:pPr>
    </w:lvl>
    <w:lvl w:ilvl="1" w:tplc="6D46951A">
      <w:numFmt w:val="decimal"/>
      <w:lvlText w:val=""/>
      <w:lvlJc w:val="left"/>
    </w:lvl>
    <w:lvl w:ilvl="2" w:tplc="9116A732">
      <w:numFmt w:val="decimal"/>
      <w:lvlText w:val=""/>
      <w:lvlJc w:val="left"/>
    </w:lvl>
    <w:lvl w:ilvl="3" w:tplc="925678B8">
      <w:numFmt w:val="decimal"/>
      <w:lvlText w:val=""/>
      <w:lvlJc w:val="left"/>
    </w:lvl>
    <w:lvl w:ilvl="4" w:tplc="C956A1BA">
      <w:numFmt w:val="decimal"/>
      <w:lvlText w:val=""/>
      <w:lvlJc w:val="left"/>
    </w:lvl>
    <w:lvl w:ilvl="5" w:tplc="EB7EE44E">
      <w:numFmt w:val="decimal"/>
      <w:lvlText w:val=""/>
      <w:lvlJc w:val="left"/>
    </w:lvl>
    <w:lvl w:ilvl="6" w:tplc="1EF6432A">
      <w:numFmt w:val="decimal"/>
      <w:lvlText w:val=""/>
      <w:lvlJc w:val="left"/>
    </w:lvl>
    <w:lvl w:ilvl="7" w:tplc="2AB82D2E">
      <w:numFmt w:val="decimal"/>
      <w:lvlText w:val=""/>
      <w:lvlJc w:val="left"/>
    </w:lvl>
    <w:lvl w:ilvl="8" w:tplc="C27227E6">
      <w:numFmt w:val="decimal"/>
      <w:lvlText w:val=""/>
      <w:lvlJc w:val="left"/>
    </w:lvl>
  </w:abstractNum>
  <w:abstractNum w:abstractNumId="2" w15:restartNumberingAfterBreak="0">
    <w:nsid w:val="6A5C1B8B"/>
    <w:multiLevelType w:val="hybridMultilevel"/>
    <w:tmpl w:val="BE207CE8"/>
    <w:lvl w:ilvl="0" w:tplc="5FE428A2">
      <w:start w:val="1"/>
      <w:numFmt w:val="bullet"/>
      <w:lvlText w:val="•"/>
      <w:lvlJc w:val="left"/>
      <w:pPr>
        <w:ind w:left="720" w:hanging="360"/>
      </w:pPr>
    </w:lvl>
    <w:lvl w:ilvl="1" w:tplc="288CEB88">
      <w:numFmt w:val="decimal"/>
      <w:lvlText w:val=""/>
      <w:lvlJc w:val="left"/>
    </w:lvl>
    <w:lvl w:ilvl="2" w:tplc="7A1C1CD4">
      <w:numFmt w:val="decimal"/>
      <w:lvlText w:val=""/>
      <w:lvlJc w:val="left"/>
    </w:lvl>
    <w:lvl w:ilvl="3" w:tplc="5778FA46">
      <w:numFmt w:val="decimal"/>
      <w:lvlText w:val=""/>
      <w:lvlJc w:val="left"/>
    </w:lvl>
    <w:lvl w:ilvl="4" w:tplc="FAB4894C">
      <w:numFmt w:val="decimal"/>
      <w:lvlText w:val=""/>
      <w:lvlJc w:val="left"/>
    </w:lvl>
    <w:lvl w:ilvl="5" w:tplc="A7FAA3BE">
      <w:numFmt w:val="decimal"/>
      <w:lvlText w:val=""/>
      <w:lvlJc w:val="left"/>
    </w:lvl>
    <w:lvl w:ilvl="6" w:tplc="349CD5E2">
      <w:numFmt w:val="decimal"/>
      <w:lvlText w:val=""/>
      <w:lvlJc w:val="left"/>
    </w:lvl>
    <w:lvl w:ilvl="7" w:tplc="E588342E">
      <w:numFmt w:val="decimal"/>
      <w:lvlText w:val=""/>
      <w:lvlJc w:val="left"/>
    </w:lvl>
    <w:lvl w:ilvl="8" w:tplc="3E82850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8FA"/>
    <w:rsid w:val="00193907"/>
    <w:rsid w:val="0033474D"/>
    <w:rsid w:val="0042565A"/>
    <w:rsid w:val="006B7637"/>
    <w:rsid w:val="0073397C"/>
    <w:rsid w:val="009038FA"/>
    <w:rsid w:val="00950A36"/>
    <w:rsid w:val="00DA4E79"/>
    <w:rsid w:val="00DD0E02"/>
    <w:rsid w:val="00EB0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32A0E7B-7C4E-4AA8-BC4E-7334366FB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5090"/>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566</TotalTime>
  <Pages>3</Pages>
  <Words>4443</Words>
  <Characters>25327</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Jadhav</cp:lastModifiedBy>
  <cp:revision>5</cp:revision>
  <dcterms:created xsi:type="dcterms:W3CDTF">2026-05-10T21:04:00Z</dcterms:created>
  <dcterms:modified xsi:type="dcterms:W3CDTF">2026-05-25T00:36:00Z</dcterms:modified>
</cp:coreProperties>
</file>