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Churn de Clientes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Uma empresa de Telefonia enfrenta um alto índice de churn (cancelamento de assinaturas), o que impacta diretamente sua receita e crescimento a longo prazo.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Apesar de oferecer serviços competitivos, a empresa ainda não consegue identificar com precisão quais fatores levam os clientes a cancelar suas assinaturas e quais ações preventivas podem ser tomadas para reter esses clientes. A dificuldade em prever o comportamento dos assinantes com base em seus padrões de uso e características individuais limita a capacidade da empresa de criar estratégias eficazes de retenção.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Dados: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Maior65Anos: Indica se o cliente tem mais de 65 anos.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Conjuge: Indica se o cliente é casado ou tem um cônjuge.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Dependentes: Indica se o cliente tem dependentes.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MesesDeContrato: O número de meses que o cliente está no contrato atual.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TelefoneFixo: Indica se o cliente possui uma linha de telefone fixo.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VariasLinhasTelefonicas: Indica se o cliente possui várias linhas telefônicas.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ServicoDeInternet: Indica se o cliente utiliza o serviço de internet.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SegurancaOnline: Indica se o cliente contratou serviços de segurança online.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BackupOnline: Indica se o cliente contratou serviços de backup online.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SeguroNoDispositivo: Indica se o cliente contratou seguro para dispositivos.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SuporteTecnico: Indica se o cliente contratou suporte técnico adicional.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TVaCabo: Indica se o cliente possui serviço de TV a cabo.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StreamingDeFilmes: Indica se o cliente contratou serviços de streaming de filmes.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TipoDeContrato: O tipo de contrato que o cliente possui (mensal, anual, etc.).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PagamentoOnline: Indica se o cliente opta por pagamento online.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FormaDePagamento: A forma de pagamento utilizada pelo cliente (cartão de crédito, débito, etc.).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ContaMensal: O valor mensal que o cliente paga pelos serviços.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Churn: Indica se o cliente cancelou o serviço (churn = sim/não).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Faça uma análise de dados, que ajude a empresa a identificar qual é o perfil e quais são as características dos clientes que possuem risco de churn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