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&lt;title&gt;Skew Communications&lt;/title&gt;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href="https://fonts.googleapis.com/css2?family=DM+Sans:ital,opsz,wght@0,9..40,300;0,9..40,400;0,9..40,500;0,9..40,600;1,9..40,300&amp;amp;family=DM+Mono:wght@400;500&amp;amp;display=swap"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*, *::before, *::after { box-sizing: border-box; margin: 0; padding: 0;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--teal:        #2d7d7d;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--teal-light:  #75c0ac;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--orange:      #e28e4e;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--gray-text:   #848484;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--gray-border: #e5e5e5;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--bg-off:      #fafafa;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--white:       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--font-main:   'DM Sans', sans-serif;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--font-mono:   'DM Mono', monospace;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html { scroll-behavior: smooth; font-size: 16px; height: 100%;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font-family: var(--font-main);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color: var(--gray-text);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-webkit-font-smoothing: antialiased;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.container { max-width: 1160px; margin: 0 auto; padding: 0 2.5rem;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/* ── NAV ──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nav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border-bottom: 1px solid var(--gray-border);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position: sticky; top: 0; z-index: 100;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.nav-inner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display: flex; align-items: center; justify-content: space-between;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height: 72px;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.nav-brand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display: flex; align-items: center; gap: 12px;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text-decoration: none; cursor: pointer;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.nav-logo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width: 38px; height: 38px;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background: var(--teal);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font-family: var(--font-mono); color: var(--white);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font-size: 0.85rem; font-weight: 500; letter-spacing: 0.05em;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.nav-brand-text .name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font-size: 1.1rem; font-weight: 500; letter-spacing: 0.1em;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color: var(--teal); line-height: 1.1; text-transform: uppercase;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.nav-links { display: flex; align-items: center; gap: 2.2rem;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.nav-links a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font-size: 0.82rem; letter-spacing: 0.04em; color: var(--gray-text);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text-decoration: none; transition: color 0.2s; cursor: pointer;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font-family: var(--font-mono);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.nav-links a:hover, .nav-links a.active { color: var(--teal);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/* ── HERO ──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.hero { padding: 7rem 0 5rem;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.section-label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font-family: var(--font-mono); font-size: 0.72rem;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letter-spacing: 0.18em; color: var(--orange);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text-transform: uppercase; margin-bottom: 1.5rem;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.hero h1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font-size: clamp(2.8rem, 5.5vw, 4.2rem);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font-weight: 300; letter-spacing: -0.02em; line-height: 1.05;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color: var(--teal); margin-bottom: 1.8rem;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.hero h1 em { font-style: normal; font-weight: 500;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.hero p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font-size: 1.15rem; max-width: 540px;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color: var(--gray-text); margin-bottom: 1.5rem; line-height: 1.75;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/* ── BUTTONS ──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.btn-primary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display: inline-flex; align-items: center; gap: 0.6rem;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background: var(--teal); color: var(--white);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padding: 0.9rem 2rem; font-size: 0.88rem; font-weight: 500;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font-family: var(--font-mono); letter-spacing: 0.06em;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text-decoration: none; border: none; cursor: pointer;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transition: background 0.2s;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.btn-primary:hover { background: var(--teal-light);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.btn-link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display: inline-flex; align-items: center; gap: 0.6rem;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color: var(--teal); text-decoration: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font-size: 0.88rem; font-weight: 500; font-family: var(--font-mono);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letter-spacing: 0.06em; cursor: pointer; transition: color 0.2s; border: none; background: none; padding: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.btn-link:hover { color: var(--teal-light);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.btn-filled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display: inline-flex; align-items: center; gap: 0.6rem;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background: var(--teal); color: var(--white);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padding: 0.9rem 2rem; font-size: 0.88rem; font-weight: 500;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font-family: var(--font-mono); letter-spacing: 0.06em;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text-decoration: none; border: none; cursor: pointer;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transition: background 0.2s;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.btn-filled:hover { background: var(--teal-light);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/* ── SECTIONS ── */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section { padding: 6rem 0; border-top: 1px solid var(--gray-border);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section h2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font-size: clamp(2rem, 4vw, 3rem);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font-weight: 300; letter-spacing: -0.01em; line-height: 1.1;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color: var(--teal); margin-bottom: 1.5rem; margin-top: 1rem;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section &gt; p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font-size: 1.05rem; max-width: 640px;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 var(--gray-text); margin-bottom: 2rem; line-height: 1.7;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/* ── THREE COLUMN LAYOUT ──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.three-col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display: grid; grid-template-columns: repeat(3, 1fr);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gap: 3rem; margin-top: 2.5rem;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.col-item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padding: 2rem; border: 1px solid var(--gray-border);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.col-item h3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font-size: 1.1rem; font-weight: 500; letter-spacing: 0.05em;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margin-bottom: 1rem; text-transform: uppercase;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.col-item.orange-accent h3 { color: var(--orange);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.col-item.teal-light-accent h3 { color: var(--teal-light);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.col-item.teal-accent h3 { color: var(--teal);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.col-item p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font-size: 0.95rem; color: var(--gray-text); line-height: 1.7;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font-weight: 300;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/* ── CARD GRID ──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.card-grid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display: grid; grid-template-columns: repeat(auto-fit, minmax(260px, 1fr));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gap: 2rem; margin-top: 2.5rem;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.card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padding: 2rem; border: 1px solid var(--gray-border); background: var(--white);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.card-title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font-size: 0.95rem; font-weight: 500; color: var(--teal);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letter-spacing: 0.04em; line-height: 1.4;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/* ── FOUR COLUMN LAYOUT ──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.four-col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display: grid; grid-template-columns: repeat(auto-fit, minmax(250px, 1fr));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gap: 2.5rem; margin-top: 2.5rem;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.four-col .card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/* ── FOOTER CTA ──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.footer-cta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padding: 6rem 0; border-top: 1px solid var(--gray-border); text-align: 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.footer-cta h2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font-size: clamp(2rem, 4vw, 3rem);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font-weight: 300; letter-spacing: -0.01em; line-height: 1.1;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color: var(--teal); margin-bottom: 1.5rem;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.footer-cta p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font-size: 1.05rem; max-width: 600px; margin: 0 auto 1.5rem;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color: var(--gray-text); line-height: 1.7; font-weight: 300;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/* ── UTILITIES ──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.mt-3 { margin-top: 3rem;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&lt;script src="https://cdn.tailwindcss.com/3.4.17" type="text/javascript"&gt;&lt;/script&gt;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&lt;script src="/_sdk/element_sdk.js" type="text/javascript"&gt;&lt;/script&gt;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&lt;style&gt;body { box-sizing: border-box; }&lt;/style&gt;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&lt;script src="/_sdk/data_sdk.js" type="text/javascript"&gt;&lt;/script&gt;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&lt;/head&gt;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&lt;body&gt;&lt;!-- NAVIGATION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&lt;div class="container"&gt;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&lt;div class="nav-inner"&gt;&lt;a href="#" class="nav-brand"&gt;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&lt;div class="nav-logo"&gt;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SK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&lt;div class="nav-brand-text"&gt;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&lt;div class="name"&gt;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Skew Communications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&lt;/div&gt;&lt;/a&gt;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&lt;div class="nav-links"&gt;&lt;a href="#"&gt;Home&lt;/a&gt; &lt;a href="#"&gt;AI Governance&lt;/a&gt; &lt;a href="#"&gt;The Skew Method&lt;/a&gt; &lt;a href="#"&gt;Clarity Framework&lt;/a&gt; &lt;a href="#"&gt;About&lt;/a&gt; &lt;a href="#"&gt;Contact&lt;/a&gt;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&lt;/nav&gt;&lt;!-- MAIN CONTENT --&gt;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&lt;main class="container"&gt;&lt;!-- HOME PAGE --&gt;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&lt;div data-page="home"&gt;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&lt;h1&gt;Complexity in. &lt;em&gt;Clarity out.&lt;/em&gt;&lt;/h1&gt;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&lt;p&gt;We help organisations align governance, communication, and capability to navigate complex change.&lt;/p&gt;&lt;a href="#contact" class="btn-primary"&gt;Start a conversation →&lt;/a&gt;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What Skew means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&lt;h2&gt;When systems drift out of alignment, reform stalls.&lt;/h2&gt;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&lt;p&gt;Complex systems become misaligned — skewed — over time. Governance, communication, and capability drift out of sync. We bring them back into alignment.&lt;/p&gt;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&lt;div class="three-col"&gt;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&lt;h3 style="color: var(--orange); font-size: 0.9rem;"&gt;Governance Design&lt;/h3&gt;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&lt;p&gt;Clear structures, decision rights, and accountability frameworks that create the foundation for informed decision-making and effective oversight.&lt;/p&gt;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&lt;h3 style="color: var(--teal-light); font-size: 0.9rem;"&gt;Strategic Communication&lt;/h3&gt;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&lt;p&gt;Communication systems that ensure the right information reaches the right people at the right time — enabling transparency and clarity.&lt;/p&gt;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&lt;h3 style="color: var(--teal); font-size: 0.9rem;"&gt;Capability Development&lt;/h3&gt;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&lt;p&gt;The skills, processes, and structures needed to execute reform and sustain change across complex government environments.&lt;/p&gt;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&lt;section&gt;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&lt;div class="section-label"&gt;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The Skew Method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&lt;h2&gt;Structured. Sequential. Deliberate.&lt;/h2&gt;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&lt;p&gt;Our three-phase method creates alignment from the foundation up. Governance before communication. Communication before capability. Each phase builds on the last.&lt;/p&gt;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&lt;div class="three-col"&gt;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&lt;div class="col-item"&gt;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&lt;h3 style="color: var(--orange); font-size: 0.9rem;"&gt;Step 01 — Assess&lt;/h3&gt;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&lt;p&gt;Map stakeholders, define decision rights, establish governance foundations and accountability frameworks.&lt;/p&gt;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&lt;div class="col-item"&gt;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&lt;h3 style="color: var(--teal-light); font-size: 0.9rem;"&gt;Step 02 — Design&lt;/h3&gt;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&lt;p&gt;Architect communication systems, reporting frameworks, and stakeholder engagement protocols.&lt;/p&gt;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&lt;div class="col-item"&gt;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&lt;h3 style="color: var(--teal); font-size: 0.9rem;"&gt;Step 03 — Sustain&lt;/h3&gt;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&lt;p&gt;Build capability, embed practices, and ensure the reform can operate independently over time.&lt;/p&gt;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&lt;div style="margin-top: 2.5rem;"&gt;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&lt;a href="#skew-method" class="btn-link"&gt;Explore the method →&lt;/a&gt;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&lt;/section&gt;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&lt;h2&gt;Governance architecture for responsible AI adoption.&lt;/h2&gt;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&lt;p&gt;Government organisations require structured, comprehensive governance to navigate AI adoption responsibly. Our AI Governance framework provides eight integrated components for effective oversight and control.&lt;/p&gt;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&lt;div class="card-grid"&gt;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AI Use Classification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0.95rem;"&gt;Structured taxonomy for categorising AI systems by risk, impact, and regulatory requirements.&lt;/p&gt;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Decision Rights Matrix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0.95rem;"&gt;Clear allocation of decision-making authority across the full AI lifecycle.&lt;/p&gt;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Risk Assessment Model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0.95rem;"&gt;Systematic approach to identifying and mitigating AI-related risks across all dimensions.&lt;/p&gt;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AI Activity Register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0.95rem;"&gt;Centralised repository for tracking all AI initiatives, pilots, and deployments.&lt;/p&gt;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Procurement Governance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0.95rem;"&gt;Frameworks for acquiring AI systems — vendor evaluation, contracts, and ongoing management.&lt;/p&gt;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Executive Oversight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0.95rem;"&gt;Structures enabling senior leaders to exercise informed oversight of AI initiatives.&lt;/p&gt;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Compliance Framework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0.95rem;"&gt;Ensures AI systems meet regulatory requirements and ethical standards throughout their lifecycle.&lt;/p&gt;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Data Governance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0.95rem;"&gt;Controls for managing data quality, security, privacy, and ethical use in AI systems.&lt;/p&gt;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&lt;div style="margin-top: 2.5rem;"&gt;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href="#ai-governance" class="btn-link"&gt;Explore AI Governance →&lt;/a&gt;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Clarity Framework™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&lt;h2&gt;Modular capability development.&lt;/h2&gt;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&lt;p&gt;Modular capability development designed to address the specific needs of your organisation. Each module can be delivered independently or as part of a comprehensive engagement.&lt;/p&gt;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&lt;div class="card-grid"&gt;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Strategic Alignment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0.95rem;"&gt;Align organisational objectives with reform initiatives and governance structures.&lt;/p&gt;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&lt;p style="margin-top: 1rem;"&gt;&lt;a href="#" class="btn-link" style="font-size: 0.82rem;"&gt;Learn more →&lt;/a&gt;&lt;/p&gt;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Communication Design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0.95rem;"&gt;Design communication systems that enable clarity and informed decision-making.&lt;/p&gt;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&lt;p style="margin-top: 1rem;"&gt;&lt;a href="#" class="btn-link" style="font-size: 0.82rem;"&gt;Learn more →&lt;/a&gt;&lt;/p&gt;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Capability Development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0.95rem;"&gt;Build the skills and structures needed to execute and sustain complex change.&lt;/p&gt;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&lt;p style="margin-top: 1rem;"&gt;&lt;a href="#" class="btn-link" style="font-size: 0.82rem;"&gt;Learn more →&lt;/a&gt;&lt;/p&gt;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Implementation Support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0.95rem;"&gt;Provide hands-on support to ensure reforms are delivered effectively.&lt;/p&gt;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&lt;p style="margin-top: 1rem;"&gt;&lt;a href="#" class="btn-link" style="font-size: 0.82rem;"&gt;Learn more →&lt;/a&gt;&lt;/p&gt;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&lt;div style="margin-top: 2.5rem; text-align: center;"&gt;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href="#clarity-framework" class="btn-link"&gt;View the full framework →&lt;/a&gt;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&lt;section class="footer-cta"&gt;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&lt;h2&gt;Start a Conversation&lt;/h2&gt;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&lt;p&gt;We work with government organisations to navigate complex reform. Get in touch to explore how we can help.&lt;/p&gt;&lt;a href="#contact" class="btn-filled"&gt;Contact us →&lt;/a&gt;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&lt;/div&gt;&lt;!-- AI GOVERNANCE PAGE --&gt;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&lt;div data-page="ai-governance" style="display: none;"&gt;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AI Governance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&lt;h1&gt;Governance architecture for AI adoption.&lt;/h1&gt;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&lt;p&gt;Government organisations require structured, comprehensive governance to navigate AI adoption responsibly. Our AI Governance framework provides the components needed for effective oversight and control.&lt;/p&gt;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&lt;p style="margin-top: 1.5rem;"&gt;Each component is designed to integrate with existing governance structures while addressing the unique challenges of AI systems.&lt;/p&gt;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Framework components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&lt;h2&gt;Eight integrated components.&lt;/h2&gt;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&lt;p&gt;A comprehensive architecture designed to work together — or deployed selectively based on your organisation's maturity.&lt;/p&gt;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&lt;div class="four-col"&gt;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01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AI Use Classification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0.95rem;"&gt;A structured taxonomy for categorising AI systems by risk, impact, and regulatory requirements. Enables consistent evaluation and appropriate governance responses.&lt;/p&gt;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02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Decision Rights Matrix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0.95rem;"&gt;Clear allocation of decision-making authority across AI lifecycle stages. Defines who decides, who is consulted, and who must be informed.&lt;/p&gt;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03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Risk Assessment Model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0.95rem;"&gt;Systematic approach to identifying, evaluating, and mitigating AI-related risks across technical, operational, ethical, and regulatory dimensions.&lt;/p&gt;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04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AI Activity Register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0.95rem;"&gt;Centralised repository for tracking all AI initiatives, pilots, and deployments. Ensures visibility and oversight across the organisation.&lt;/p&gt;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05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Procurement Governance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0.95rem;"&gt;Frameworks for acquiring AI systems and services. Addresses vendor evaluation, contract terms, and ongoing vendor management.&lt;/p&gt;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06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Executive Oversight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0.95rem;"&gt;Structures enabling senior leaders to exercise informed oversight of AI initiatives and organisational AI strategy.&lt;/p&gt;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07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Compliance Framework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0.95rem;"&gt;Ensures AI systems meet regulatory requirements, ethical standards, and organisational policies throughout their lifecycle.&lt;/p&gt;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08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Data Governance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0.95rem;"&gt;Controls for managing data used in AI systems — quality, security, privacy, and ethical use.&lt;/p&gt;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&lt;h2&gt;Integration Approach&lt;/h2&gt;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&lt;p&gt;These governance components don't operate in isolation. We work with your organisation to integrate them into existing structures — complementing rather than complicating your governance architecture.&lt;/p&gt;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&lt;p style="margin-top: 1.5rem;"&gt;Our approach considers your organisation's maturity, risk appetite, regulatory context, and strategic objectives.&lt;/p&gt;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&lt;div style="margin-top: 2.5rem;"&gt;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href="mailto:suzanna@skewcomms.com.au" class="btn-filled"&gt;Discuss your needs →&lt;/a&gt;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&lt;/div&gt;&lt;!-- SKEW METHOD PAGE --&gt;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&lt;div data-page="skew-method" style="display: none;"&gt;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The Skew Method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&lt;h1&gt;Structured. Sequential. Deliberate.&lt;/h1&gt;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&lt;p&gt;A structured approach to aligning governance, communication, and capability in complex government reform. Designed to create lasting change.&lt;/p&gt;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Why sequence matters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&lt;h2&gt;Why This Sequence Matters&lt;/h2&gt;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&lt;p&gt;Complex reform fails when organisations try to build capability without clear governance, or establish communication systems without defined decision rights. Our method follows a deliberate sequence that creates alignment from the foundation up.&lt;/p&gt;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&lt;div style="margin-top: 3rem;"&gt;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&lt;div style="border-left: 4px solid var(--orange); padding: 2rem; padding-left: 2.5rem; margin-bottom: 2rem;"&gt;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0.75rem;"&gt;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01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&lt;h3 style="font-size: 1.15rem; font-weight: 500; color: var(--teal); margin-bottom: 1rem;"&gt;Governance — Establish Structure&lt;/h3&gt;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1.5rem;"&gt;We begin by establishing clear governance structures, decision rights, and accountability frameworks. This creates the foundation for informed decision-making and effective oversight.&lt;/p&gt;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Activities&lt;/h4&gt;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1.7;"&gt;Stakeholder mapping and engagement · Decision rights definition · Accountability framework design · Governance structure implementation&lt;/p&gt;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Outcomes&lt;/h4&gt;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1.7;"&gt;Clear decision-making authority · Defined escalation pathways · Established oversight mechanisms · Documented governance model&lt;/p&gt;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&lt;div style="text-align: center; margin-bottom: 2rem; color: var(--gray-border);"&gt;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&lt;svg width="24" height="24" viewbox="0 0 24 24" fill="none" stroke="currentColor" stroke-width="2"&gt;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&lt;line x1="12" y1="5" x2="12" y2="19"&gt;&lt;/line&gt; &lt;polyline points="19 12 12 19 5 12"&gt;&lt;/polyline&gt;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&lt;/svg&gt;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&lt;div style="border-left: 4px solid var(--teal-light); padding: 2rem; padding-left: 2.5rem; margin-bottom: 2rem;"&gt;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var(--teal-light); font-weight: 500; margin-bottom: 0.75rem;"&gt;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02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&lt;h3 style="font-size: 1.15rem; font-weight: 500; color: var(--teal); margin-bottom: 1rem;"&gt;Communication — Enable Clarity&lt;/h3&gt;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1.5rem;"&gt;With governance in place, we design communication systems that ensure the right information reaches the right people at the right time. This enables transparency and informed decision-making.&lt;/p&gt;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Activities&lt;/h4&gt;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1.7;"&gt;Information flow mapping · Communication channel design · Reporting framework development · Stakeholder engagement protocols&lt;/p&gt;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Outcomes&lt;/h4&gt;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1.7;"&gt;Transparent information flows · Effective reporting mechanisms · Informed stakeholder base · Reduced communication gaps&lt;/p&gt;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&lt;div style="text-align: center; margin-bottom: 2rem; color: var(--gray-border);"&gt;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&lt;svg width="24" height="24" viewbox="0 0 24 24" fill="none" stroke="currentColor" stroke-width="2"&gt;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&lt;line x1="12" y1="5" x2="12" y2="19"&gt;&lt;/line&gt; &lt;polyline points="19 12 12 19 5 12"&gt;&lt;/polyline&gt;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&lt;/svg&gt;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&lt;div style="border-left: 4px solid var(--teal); padding: 2rem; padding-left: 2.5rem;"&gt;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var(--teal); font-weight: 500; margin-bottom: 0.75rem;"&gt;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03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&lt;h3 style="font-size: 1.15rem; font-weight: 500; color: var(--teal); margin-bottom: 1rem;"&gt;Capability — Build and Sustain&lt;/h3&gt;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1.5rem;"&gt;Finally, we build the capabilities needed to execute reform and sustain change — skills development, process implementation, and change management support.&lt;/p&gt;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Activities&lt;/h4&gt;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1.7;"&gt;Capability gap analysis · Training and development · Process design and implementation · Change management support&lt;/p&gt;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Outcomes&lt;/h4&gt;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1.7;"&gt;Enhanced organisational capability · Sustainable operating models · Skilled workforce · Embedded change practices&lt;/p&gt;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Guiding principles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&lt;h2&gt;Guiding Principles&lt;/h2&gt;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&lt;p&gt;Our method is guided by principles that ensure sustainable outcomes tailored to your organisation's needs.&lt;/p&gt;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&lt;div style="display: grid; grid-template-columns: repeat(2, 1fr); gap: 2.5rem; margin-top: 2.5rem;"&gt;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Structured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0.95rem;"&gt;Every engagement follows a deliberate sequence. Governance before communication. Communication before capability.&lt;/p&gt;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Context-Aware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0.95rem;"&gt;We adapt to your organisation's maturity, culture, and constraints. No off-the-shelf solutions.&lt;/p&gt;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Outcome-Focused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0.95rem;"&gt;We measure success by sustainable change, not deliverables. Our work is complete when your organisation can sustain the reform.&lt;/p&gt;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Collaborative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0.95rem;"&gt;We work alongside your teams. We enable, not replace.&lt;/p&gt;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&lt;h2&gt;How We Work&lt;/h2&gt;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&lt;p&gt;Our engagements are scoped to your organisation's specific needs. We may work across all three phases or focus on areas where alignment is most critical.&lt;/p&gt;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&lt;p style="margin-top: 1.5rem;"&gt;We work through embedded teams, partnering with your staff to ensure knowledge transfer and sustainable outcomes.&lt;/p&gt;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&lt;div style="margin-top: 2.5rem;"&gt;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href="mailto:suzanna@skewcomms.com.au" class="btn-filled"&gt;Discuss your reform challenge →&lt;/a&gt;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&lt;/div&gt;&lt;!-- CLARITY FRAMEWORK PAGE --&gt;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&lt;div data-page="clarity-framework" style="display: none;"&gt;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Governance Architecture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&lt;h1&gt;Clarity Framework™: Modular capability development.&lt;/h1&gt;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&lt;p&gt;Modular capability development designed to address the specific needs of your organisation. Each module can be delivered independently or as part of a comprehensive engagement.&lt;/p&gt;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&lt;p style="margin-top: 1.5rem;"&gt;The framework is flexible, allowing us to focus on the areas where alignment is most critical for your reform success.&lt;/p&gt;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&lt;div style="display: grid; grid-template-columns: repeat(auto-fit, minmax(280px, 1fr)); gap: 3rem; margin-top: 3rem;"&gt;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&lt;div style="border-left: 3px solid var(--orange); padding-left: 2rem;"&gt;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1rem;"&gt;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01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&lt;h3 style="font-size: 1.1rem; font-weight: 500; color: var(--teal); margin-bottom: 1rem;"&gt;Strategic Alignment&lt;/h3&gt;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1.5rem;"&gt;Align organisational objectives with reform initiatives and governance structures.&lt;/p&gt;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Components&lt;/h4&gt;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&lt;ul style="list-style: none; font-size: 0.9rem; color: var(--gray-text); line-height: 1.8;"&gt;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&lt;li&gt;• Stakeholder analysis and mapping&lt;/li&gt;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&lt;li&gt;• Objective alignment workshops&lt;/li&gt;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&lt;li&gt;• Strategic planning integration&lt;/li&gt;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&lt;li&gt;• Success metrics definition&lt;/li&gt;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0.5rem;"&gt;Typical Duration&lt;/h4&gt;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var(--gray-text);"&gt;4–6 weeks&lt;/p&gt;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Outcome&lt;/h4&gt;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1.6;"&gt;Clear line of sight from strategic objectives to reform activities, with engaged stakeholders and defined success criteria.&lt;/p&gt;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&lt;div style="border-left: 3px solid var(--teal-light); padding-left: 2rem;"&gt;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var(--teal-light); font-weight: 500; margin-bottom: 1rem;"&gt;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02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&lt;h3 style="font-size: 1.1rem; font-weight: 500; color: var(--teal); margin-bottom: 1rem;"&gt;Communication Design&lt;/h3&gt;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1.5rem;"&gt;Design communication systems that enable clarity and informed decision-making.&lt;/p&gt;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Components&lt;/h4&gt;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&lt;ul style="list-style: none; font-size: 0.9rem; color: var(--gray-text); line-height: 1.8;"&gt;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&lt;li&gt;• Information flow analysis&lt;/li&gt;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&lt;li&gt;• Communication channel design&lt;/li&gt;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&lt;li&gt;• Reporting framework development&lt;/li&gt;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&lt;li&gt;• Stakeholder engagement protocols&lt;/li&gt;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0.5rem;"&gt;Typical Duration&lt;/h4&gt;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var(--gray-text);"&gt;6–8 weeks&lt;/p&gt;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Outcome&lt;/h4&gt;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1.6;"&gt;Transparent, effective communication systems that ensure the right information reaches the right people at the right time.&lt;/p&gt;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&lt;div style="border-left: 3px solid var(--teal); padding-left: 2rem;"&gt;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var(--teal); font-weight: 500; margin-bottom: 1rem;"&gt;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03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&lt;h3 style="font-size: 1.1rem; font-weight: 500; color: var(--teal); margin-bottom: 1rem;"&gt;Capability Development&lt;/h3&gt;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1.5rem;"&gt;Build the skills and structures needed to execute and sustain complex change.&lt;/p&gt;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Components&lt;/h4&gt;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&lt;ul style="list-style: none; font-size: 0.9rem; color: var(--gray-text); line-height: 1.8;"&gt;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&lt;li&gt;• Capability gap analysis&lt;/li&gt;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&lt;li&gt;• Training program design&lt;/li&gt;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&lt;li&gt;• Process development&lt;/li&gt;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&lt;li&gt;• Knowledge management systems&lt;/li&gt;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0.5rem;"&gt;Typical Duration&lt;/h4&gt;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var(--gray-text);"&gt;8–12 weeks&lt;/p&gt;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Outcome&lt;/h4&gt;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1.6;"&gt;Enhanced organisational capability with skilled teams, documented processes, and sustainable operating models.&lt;/p&gt;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&lt;div style="border-left: 3px solid var(--orange); padding-left: 2rem;"&gt;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&lt;div style="font-family: var(--font-mono); font-size: 0.9rem; color: var(--orange); font-weight: 500; margin-bottom: 1rem;"&gt;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04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&lt;h3 style="font-size: 1.1rem; font-weight: 500; color: var(--teal); margin-bottom: 1rem;"&gt;Implementation Support&lt;/h3&gt;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&lt;p style="font-size: 0.95rem; color: var(--gray-text); line-height: 1.7; margin-bottom: 1.5rem;"&gt;Provide hands-on support to ensure reforms are delivered effectively.&lt;/p&gt;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0.75rem;"&gt;Key Components&lt;/h4&gt;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&lt;ul style="list-style: none; font-size: 0.9rem; color: var(--gray-text); line-height: 1.8;"&gt;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&lt;li&gt;• Embedded delivery teams&lt;/li&gt;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&lt;li&gt;• Change management support&lt;/li&gt;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&lt;li&gt;• Risk monitoring and mitigation&lt;/li&gt;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&lt;li&gt;• Continuous improvement cycles&lt;/li&gt;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&lt;div style="margin-bottom: 1.5rem;"&gt;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0.5rem;"&gt;Typical Duration&lt;/h4&gt;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var(--gray-text);"&gt;Ongoing&lt;/p&gt;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&lt;h4 style="font-size: 0.85rem; font-weight: 500; text-transform: uppercase; letter-spacing: 0.05em; color: var(--teal); margin-bottom: 0.75rem;"&gt;Expected Outcome&lt;/h4&gt;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&lt;p style="font-size: 0.9rem; color: var(--gray-text); line-height: 1.6;"&gt;Successfully executed reforms with embedded practices that enable ongoing adaptation and improvement.&lt;/p&gt;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Framework Applications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&lt;h2&gt;Framework Applications&lt;/h2&gt;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&lt;p&gt;The Clarity Framework adapts to different reform contexts. Here are some examples of how we apply the modules to common government challenges.&lt;/p&gt;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&lt;div class="four-col"&gt;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Digital Transformation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0.95rem;"&gt;Focus on governance structures for technology decisions, communication systems for change management, and capability building for new digital tools.&lt;/p&gt;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AI Adoption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0.95rem;"&gt;Establish AI governance frameworks, design transparent reporting on AI initiatives, and build organisational AI literacy.&lt;/p&gt;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Organisational Restructure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0.95rem;"&gt;Clarify decision rights in new structures, design communication for transitions, and develop capabilities for new operating models.&lt;/p&gt;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Policy Reform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0.95rem;"&gt;Align stakeholders around policy objectives, establish clear communication on policy intent, and build implementation capability.&lt;/p&gt;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Tailored to Your Context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&lt;h2&gt;Tailored to Your Context&lt;/h2&gt;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&lt;p&gt;Every organisation faces unique challenges. We don't apply the framework mechanically — we adapt it to your context, maturity, constraints, and objectives.&lt;/p&gt;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&lt;p style="margin-top: 1.5rem;"&gt;Some organisations need all four modules; others need focused intervention in one or two areas. Our goal is sustainable impact, not comprehensive coverage.&lt;/p&gt;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&lt;div style="margin-top: 2.5rem;"&gt;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href="#contact" class="btn-link"&gt;Explore how we can help →&lt;/a&gt;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&lt;/div&gt;&lt;!-- ABOUT PAGE --&gt;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&lt;div data-page="about" style="display: none;"&gt;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About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&lt;h1&gt;We help organisations navigate complexity&lt;/h1&gt;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&lt;p&gt;A boutique advisory firm focused exclusively on helping government organisations navigate complex reform. We work at the intersection of governance, communication, and capability.&lt;/p&gt;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&lt;p&gt;Our name reflects our core insight: complex systems become misaligned — skewed — over time. When governance, communication, and capability drift out of sync, reform stalls. We bring them back into alignment.&lt;/p&gt;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Our approach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&lt;h2&gt;Our Approach&lt;/h2&gt;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&lt;p&gt;We don't work like traditional consulting firms. We embed with your teams, focus on sustainable outcomes, and build capability as we deliver results.&lt;/p&gt;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&lt;div class="three-col"&gt;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&lt;h3 style="color: var(--orange); font-size: 0.9rem;"&gt;Embedded Delivery&lt;/h3&gt;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&lt;p&gt;We work alongside your teams, not at arm's length. Ensures knowledge transfer and builds sustainable internal capability throughout the engagement.&lt;/p&gt;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&lt;h3 style="color: var(--teal-light); font-size: 0.9rem;"&gt;Government-Exclusive&lt;/h3&gt;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&lt;p&gt;We work exclusively with government organisations. We understand APS culture, procurement processes, and the unique constraints of public sector reform.&lt;/p&gt;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&lt;h3 style="color: var(--teal); font-size: 0.9rem;"&gt;Vendor-Neutral&lt;/h3&gt;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&lt;p&gt;We are fully independent. Our recommendations are based on your needs, not commercial relationships with technology providers.&lt;/p&gt;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What guides us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&lt;h2&gt;What Guides Us&lt;/h2&gt;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&lt;div class="four-col"&gt;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Clarity Over Complexity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0.95rem;"&gt;Complex problems require clear thinking, not more complexity. Every deliverable should simplify, not compound, the challenge.&lt;/p&gt;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Sustainable Impact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0.95rem;"&gt;We measure success by whether change endures after we leave. Our model builds capability, not dependency.&lt;/p&gt;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Evidence-Informed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0.95rem;"&gt;Our frameworks are grounded in evidence — organisational theory, governance research, two decades of public sector experience.&lt;/p&gt;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Structural Integrity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&lt;p style="margin-top: 1rem; font-size: 0.95rem;"&gt;We design systems that hold under pressure, not just in ideal conditions.&lt;/p&gt;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Expertise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&lt;h2&gt;Areas of Expertise&lt;/h2&gt;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&lt;div class="four-col"&gt;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Governance Design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AI Governance Architecture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Strategic Communication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Capability Development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Complex Reform Navigation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Inclusive Communication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Training Design and Delivery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Knowledge Management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Change Management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&lt;div class="card-title"&gt;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Stakeholder Engagement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Who we work with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&lt;h2&gt;Who We Work With&lt;/h2&gt;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&lt;p&gt;We work with government organisations at federal and territory level, from frontline teams to statutory bodies and senior executive groups.&lt;/p&gt;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&lt;div class="three-col"&gt;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&lt;h3 style="color: var(--orange); font-size: 0.9rem;"&gt;Commonwealth Departments&lt;/h3&gt;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&lt;p&gt;APS agencies navigating policy reform, digital transformation, or organisational change.&lt;/p&gt;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&lt;h3 style="color: var(--teal-light); font-size: 0.9rem;"&gt;Statutory Bodies&lt;/h3&gt;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&lt;p&gt;Independent authorities requiring governance architecture and accountability frameworks.&lt;/p&gt;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&lt;h3 style="color: var(--teal); font-size: 0.9rem;"&gt;Territory Government&lt;/h3&gt;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&lt;p&gt;ACT Government agencies and local government bodies navigating service reform.&lt;/p&gt;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&lt;h3 style="color: var(--orange); font-size: 0.9rem;"&gt;Senior Executive Teams&lt;/h3&gt;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&lt;p&gt;SES leaders requiring structured governance and AI oversight.&lt;/p&gt;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&lt;h3 style="color: var(--teal-light); font-size: 0.9rem;"&gt;Reform Program Teams&lt;/h3&gt;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&lt;p&gt;Cross-agency teams delivering complex, multi-stakeholder reform programs.&lt;/p&gt;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&lt;div class="col-item"&gt;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&lt;h3 style="color: var(--teal); font-size: 0.9rem;"&gt;EL1 / EL2 Cohorts&lt;/h3&gt;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&lt;p&gt;Emerging leaders requiring targeted capability development.&lt;/p&gt;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&lt;section class="footer-cta"&gt;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&lt;h2&gt;Get in touch&lt;/h2&gt;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&lt;p&gt;We work with government organisations at federal and territory level. If you're navigating complex reform and need structured governance, communication, and capability development, let's talk.&lt;/p&gt;&lt;a href="#contact" class="btn-filled"&gt;Get in touch →&lt;/a&gt;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&lt;/div&gt;&lt;!-- CONTACT PAGE --&gt;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&lt;div data-page="contact" style="display: none;"&gt;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&lt;div class="section-label"&gt;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Contact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&lt;h1&gt;Let's talk about your reform challenge&lt;/h1&gt;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&lt;p&gt;Get in touch to discuss how we can help your organisation navigate complex reform with structured governance, clear communication, and sustainable capability development.&lt;/p&gt;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&lt;h2&gt;Get in touch&lt;/h2&gt;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&lt;p&gt;We'd love to hear about your reform challenge. The best way to reach us is directly by email — we respond within two business days.&lt;/p&gt;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&lt;p style="margin-top: 1.5rem;"&gt;&lt;strong&gt;Location:&lt;/strong&gt; Canberra, Australian Capital Territory — available to travel or work remotely.&lt;/p&gt;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&lt;div style="margin-top: 2.5rem;"&gt;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href="mailto:suzanna@skewcomms.com.au" class="btn-filled"&gt;Email us directly →&lt;/a&gt;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&lt;/main&gt;&lt;!-- FOOTER BAND --&gt;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&lt;div style="background: var(--teal); color: var(--white); padding: 6rem 2.5rem; text-align: center;"&gt;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&lt;div class="container"&gt;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&lt;h2 style="font-size: clamp(2.5rem, 5vw, 3.5rem); font-weight: 300; letter-spacing: -0.01em; line-height: 1.1; margin-bottom: 1rem; color: var(--white);"&gt;Clarity. Control. Capability.&lt;/h2&gt;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&lt;p style="font-size: 1.1rem; color: rgba(255,255,255,0.9); font-weight: 300;"&gt;Skew — boutique advisory for government reform.&lt;/p&gt;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// Page routing with hash-based URLs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const pageMap =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'': 'home',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'#': 'home',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'#home': 'home',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'#ai-governance': 'ai-governance',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'#skew-method': 'skew-method',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'#clarity-framework': 'clarity-framework',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'#about': 'about',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'#contact': 'contact'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const navLinks = document.querySelectorAll('.nav-links a');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const pages = ['home', 'ai-governance', 'skew-method', 'clarity-framework', 'about', 'contact'];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// Set up nav link hrefs and click handlers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navLinks.forEach((link, index) =&gt;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link.href = pages[index] === 'home' ? '#' : '#' + pages[index];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link.addEventListener('click', (e) =&gt;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e.preventDefault();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window.location.hash = pages[index] === 'home' ? '' : pages[index];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});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const navBrand = document.querySelector('.nav-brand');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navBrand.href = '#';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navBrand.addEventListener('click', (e) =&gt;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e.preventDefault();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window.location.hash = '';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function showPage(pageName)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document.querySelectorAll('[data-page]').forEach(el =&gt; el.style.display = 'none');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const page = document.querySelector(`[data-page="${pageName}"]`);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if (page) page.style.display = 'block';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// Update active nav link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navLinks.forEach((link, index) =&gt;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link.classList.remove('active');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if (pages[index] === pageName)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link.classList.add('active');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});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window.scrollTo(0, 0);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// Handle hash changes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function handleRouteChange()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const hash = window.location.hash;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const pageName = pageMap[hash] || 'home';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showPage(pageName);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// Listen for hash changes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window.addEventListener('hashchange', handleRouteChange);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// Initialize on page load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handleRouteChange();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// Form submission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document.addEventListener('submit', function(e)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if (e.target.id === 'enquiry-form')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e.preventDefault();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const btn = e.target.querySelector('button[type="submit"]');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const originalText = btn.textContent;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btn.textContent = 'Submitted ✓';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btn.disabled = true;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setTimeout(() =&gt;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btn.textContent = originalText;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btn.disabled = false;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e.target.reset();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}, 3000);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&lt;script&gt;(function(){function c(){var b=a.contentDocument||a.contentWindow.document;if(b){var d=b.createElement('script');d.innerHTML="window.__CF$cv$params={r:'9d7d46aa02957502',t:'MTc3Mjc1NzI4MC4wMDAwMDA='};var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