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webSettings.xml" ContentType="application/vnd.openxmlformats-officedocument.wordprocessingml.webSettings+xml"/>
  <Override PartName="/word/settings.xml" ContentType="application/vnd.openxmlformats-officedocument.wordprocessingml.settings+xml"/>
  <Override PartName="/word/fontTable.xml" ContentType="application/vnd.openxmlformats-officedocument.wordprocessingml.fontTable+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numbering.xml" ContentType="application/vnd.openxmlformats-officedocument.wordprocessingml.numbering+xml"/>
  <Override PartName="/word/theme/theme1.xml" ContentType="application/vnd.openxmlformats-officedocument.theme+xml"/>
  <Override PartName="/customXml/itemProps1.xml" ContentType="application/vnd.openxmlformats-officedocument.customXmlProperties+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hd w:val="clear" w:color="auto" w:fill="2D2B55"/>
        <w:spacing w:before="0" w:after="0"/>
      </w:pPr>
    </w:p>
    <w:p>
      <w:pPr>
        <w:shd w:val="clear" w:color="auto" w:fill="2D2B55"/>
        <w:spacing w:before="0" w:after="0"/>
      </w:pPr>
    </w:p>
    <w:p>
      <w:pPr>
        <w:shd w:val="clear" w:color="auto" w:fill="2D2B55"/>
        <w:spacing w:before="0" w:after="0"/>
      </w:pPr>
    </w:p>
    <w:p/>
    <w:p/>
    <w:p>
      <w:pPr>
        <w:jc w:val="center"/>
      </w:pPr>
      <w:r>
        <w:rPr>
          <w:rFonts w:ascii="Calibri" w:hAnsi="Calibri"/>
          <w:b/>
          <w:color w:val="5B5BD6"/>
          <w:sz w:val="28"/>
        </w:rPr>
        <w:t>HR PROCESS PORTAL</w:t>
      </w:r>
    </w:p>
    <w:p>
      <w:pPr>
        <w:jc w:val="center"/>
      </w:pPr>
      <w:r>
        <w:rPr>
          <w:rFonts w:ascii="Calibri" w:hAnsi="Calibri"/>
          <w:color w:val="6B7280"/>
          <w:sz w:val="22"/>
        </w:rPr>
        <w:t>Oracle HCM Fusion</w:t>
      </w:r>
    </w:p>
    <w:p/>
    <w:p/>
    <w:p>
      <w:pPr>
        <w:jc w:val="center"/>
      </w:pPr>
      <w:r>
        <w:rPr>
          <w:rFonts w:ascii="Calibri" w:hAnsi="Calibri"/>
          <w:b/>
          <w:color w:val="7C3AED"/>
          <w:sz w:val="22"/>
        </w:rPr>
        <w:t>SOP-HCM-001</w:t>
      </w:r>
    </w:p>
    <w:p>
      <w:pPr>
        <w:jc w:val="center"/>
      </w:pPr>
      <w:r>
        <w:rPr>
          <w:rFonts w:ascii="Calibri" w:hAnsi="Calibri"/>
          <w:b/>
          <w:color w:val="2D2B55"/>
          <w:sz w:val="52"/>
        </w:rPr>
        <w:t>Hire Employee</w:t>
      </w:r>
    </w:p>
    <w:p>
      <w:pPr>
        <w:jc w:val="center"/>
      </w:pPr>
      <w:r>
        <w:rPr>
          <w:rFonts w:ascii="Calibri" w:hAnsi="Calibri"/>
          <w:color w:val="6B7280"/>
          <w:sz w:val="26"/>
        </w:rPr>
        <w:t>New Hire Process | Oracle HCM Fusion</w:t>
      </w:r>
    </w:p>
    <w:p/>
    <w:p/>
    <w:p/>
    <w:tbl>
      <w:tblPr>
        <w:tblStyle w:val="TableGrid"/>
        <w:tblW w:type="auto" w:w="0"/>
        <w:jc w:val="center"/>
        <w:tblLook w:firstColumn="1" w:firstRow="1" w:lastColumn="0" w:lastRow="0" w:noHBand="0" w:noVBand="1" w:val="04A0"/>
      </w:tblPr>
      <w:tblGrid>
        <w:gridCol w:w="4513"/>
        <w:gridCol w:w="4513"/>
      </w:tblGrid>
      <w:tr>
        <w:tc>
          <w:tcPr>
            <w:tcW w:type="dxa" w:w="2835"/>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b/>
                <w:color w:val="5B5BD6"/>
                <w:sz w:val="20"/>
              </w:rPr>
              <w:t>SOP Reference</w:t>
            </w:r>
          </w:p>
        </w:tc>
        <w:tc>
          <w:tcPr>
            <w:tcW w:type="dxa" w:w="5102"/>
            <w:tcBorders>
              <w:top w:val="single" w:sz="4" w:space="0" w:color="C4B5FD"/>
              <w:left w:val="single" w:sz="4" w:space="0" w:color="C4B5FD"/>
              <w:bottom w:val="single" w:sz="4" w:space="0" w:color="C4B5FD"/>
              <w:right w:val="single" w:sz="4" w:space="0" w:color="C4B5FD"/>
            </w:tcBorders>
          </w:tcPr>
          <w:p>
            <w:r>
              <w:rPr>
                <w:rFonts w:ascii="Calibri" w:hAnsi="Calibri"/>
                <w:color w:val="111827"/>
                <w:sz w:val="20"/>
              </w:rPr>
              <w:t>SOP-HCM-001</w:t>
            </w:r>
          </w:p>
        </w:tc>
      </w:tr>
      <w:tr>
        <w:tc>
          <w:tcPr>
            <w:tcW w:type="dxa" w:w="2835"/>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b/>
                <w:color w:val="5B5BD6"/>
                <w:sz w:val="20"/>
              </w:rPr>
              <w:t>Version</w:t>
            </w:r>
          </w:p>
        </w:tc>
        <w:tc>
          <w:tcPr>
            <w:tcW w:type="dxa" w:w="5102"/>
            <w:tcBorders>
              <w:top w:val="single" w:sz="4" w:space="0" w:color="C4B5FD"/>
              <w:left w:val="single" w:sz="4" w:space="0" w:color="C4B5FD"/>
              <w:bottom w:val="single" w:sz="4" w:space="0" w:color="C4B5FD"/>
              <w:right w:val="single" w:sz="4" w:space="0" w:color="C4B5FD"/>
            </w:tcBorders>
          </w:tcPr>
          <w:p>
            <w:r>
              <w:rPr>
                <w:rFonts w:ascii="Calibri" w:hAnsi="Calibri"/>
                <w:color w:val="111827"/>
                <w:sz w:val="20"/>
              </w:rPr>
              <w:t>Hire Employee – New Hire Process</w:t>
            </w:r>
          </w:p>
        </w:tc>
      </w:tr>
      <w:tr>
        <w:tc>
          <w:tcPr>
            <w:tcW w:type="dxa" w:w="2835"/>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b/>
                <w:color w:val="5B5BD6"/>
                <w:sz w:val="20"/>
              </w:rPr>
              <w:t>Effective Date</w:t>
            </w:r>
          </w:p>
        </w:tc>
        <w:tc>
          <w:tcPr>
            <w:tcW w:type="dxa" w:w="5102"/>
            <w:tcBorders>
              <w:top w:val="single" w:sz="4" w:space="0" w:color="C4B5FD"/>
              <w:left w:val="single" w:sz="4" w:space="0" w:color="C4B5FD"/>
              <w:bottom w:val="single" w:sz="4" w:space="0" w:color="C4B5FD"/>
              <w:right w:val="single" w:sz="4" w:space="0" w:color="C4B5FD"/>
            </w:tcBorders>
          </w:tcPr>
          <w:p>
            <w:r>
              <w:rPr>
                <w:rFonts w:ascii="Calibri" w:hAnsi="Calibri"/>
                <w:color w:val="111827"/>
                <w:sz w:val="20"/>
              </w:rPr>
              <w:t>April 2026</w:t>
            </w:r>
          </w:p>
        </w:tc>
      </w:tr>
      <w:tr>
        <w:tc>
          <w:tcPr>
            <w:tcW w:type="dxa" w:w="2835"/>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b/>
                <w:color w:val="5B5BD6"/>
                <w:sz w:val="20"/>
              </w:rPr>
              <w:t>Process Owner</w:t>
            </w:r>
          </w:p>
        </w:tc>
        <w:tc>
          <w:tcPr>
            <w:tcW w:type="dxa" w:w="5102"/>
            <w:tcBorders>
              <w:top w:val="single" w:sz="4" w:space="0" w:color="C4B5FD"/>
              <w:left w:val="single" w:sz="4" w:space="0" w:color="C4B5FD"/>
              <w:bottom w:val="single" w:sz="4" w:space="0" w:color="C4B5FD"/>
              <w:right w:val="single" w:sz="4" w:space="0" w:color="C4B5FD"/>
            </w:tcBorders>
          </w:tcPr>
          <w:p>
            <w:r>
              <w:rPr>
                <w:rFonts w:ascii="Calibri" w:hAnsi="Calibri"/>
                <w:color w:val="111827"/>
                <w:sz w:val="20"/>
              </w:rPr>
              <w:t>HR Operations – Talent Acquisition</w:t>
            </w:r>
          </w:p>
        </w:tc>
      </w:tr>
      <w:tr>
        <w:tc>
          <w:tcPr>
            <w:tcW w:type="dxa" w:w="2835"/>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b/>
                <w:color w:val="5B5BD6"/>
                <w:sz w:val="20"/>
              </w:rPr>
              <w:t>Classification</w:t>
            </w:r>
          </w:p>
        </w:tc>
        <w:tc>
          <w:tcPr>
            <w:tcW w:type="dxa" w:w="5102"/>
            <w:tcBorders>
              <w:top w:val="single" w:sz="4" w:space="0" w:color="C4B5FD"/>
              <w:left w:val="single" w:sz="4" w:space="0" w:color="C4B5FD"/>
              <w:bottom w:val="single" w:sz="4" w:space="0" w:color="C4B5FD"/>
              <w:right w:val="single" w:sz="4" w:space="0" w:color="C4B5FD"/>
            </w:tcBorders>
          </w:tcPr>
          <w:p>
            <w:r>
              <w:rPr>
                <w:rFonts w:ascii="Calibri" w:hAnsi="Calibri"/>
                <w:color w:val="111827"/>
                <w:sz w:val="20"/>
              </w:rPr>
              <w:t>Internal</w:t>
            </w:r>
          </w:p>
        </w:tc>
      </w:tr>
      <w:tr>
        <w:tc>
          <w:tcPr>
            <w:tcW w:type="dxa" w:w="2835"/>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b/>
                <w:color w:val="5B5BD6"/>
                <w:sz w:val="20"/>
              </w:rPr>
              <w:t>System</w:t>
            </w:r>
          </w:p>
        </w:tc>
        <w:tc>
          <w:tcPr>
            <w:tcW w:type="dxa" w:w="5102"/>
            <w:tcBorders>
              <w:top w:val="single" w:sz="4" w:space="0" w:color="C4B5FD"/>
              <w:left w:val="single" w:sz="4" w:space="0" w:color="C4B5FD"/>
              <w:bottom w:val="single" w:sz="4" w:space="0" w:color="C4B5FD"/>
              <w:right w:val="single" w:sz="4" w:space="0" w:color="C4B5FD"/>
            </w:tcBorders>
          </w:tcPr>
          <w:p>
            <w:r>
              <w:rPr>
                <w:rFonts w:ascii="Calibri" w:hAnsi="Calibri"/>
                <w:color w:val="111827"/>
                <w:sz w:val="20"/>
              </w:rPr>
              <w:t>Oracle HCM Fusion</w:t>
            </w:r>
          </w:p>
        </w:tc>
      </w:tr>
    </w:tbl>
    <w:p>
      <w:r>
        <w:br w:type="page"/>
      </w:r>
    </w:p>
    <w:p>
      <w:pPr>
        <w:pStyle w:val="Heading2"/>
      </w:pPr>
      <w:r>
        <w:t>1. Document Control</w:t>
      </w:r>
    </w:p>
    <w:tbl>
      <w:tblPr>
        <w:tblStyle w:val="TableGrid"/>
        <w:tblW w:type="auto" w:w="0"/>
        <w:tblLook w:firstColumn="1" w:firstRow="1" w:lastColumn="0" w:lastRow="0" w:noHBand="0" w:noVBand="1" w:val="04A0"/>
      </w:tblPr>
      <w:tblGrid>
        <w:gridCol w:w="4513"/>
        <w:gridCol w:w="4513"/>
      </w:tblGrid>
      <w:tr>
        <w:tc>
          <w:tcPr>
            <w:tcW w:type="dxa" w:w="2835"/>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b/>
                <w:color w:val="5B5BD6"/>
                <w:sz w:val="20"/>
              </w:rPr>
              <w:t>Document ID</w:t>
            </w:r>
          </w:p>
        </w:tc>
        <w:tc>
          <w:tcPr>
            <w:tcW w:type="dxa" w:w="7710"/>
            <w:tcBorders>
              <w:top w:val="single" w:sz="4" w:space="0" w:color="C4B5FD"/>
              <w:left w:val="single" w:sz="4" w:space="0" w:color="C4B5FD"/>
              <w:bottom w:val="single" w:sz="4" w:space="0" w:color="C4B5FD"/>
              <w:right w:val="single" w:sz="4" w:space="0" w:color="C4B5FD"/>
            </w:tcBorders>
          </w:tcPr>
          <w:p>
            <w:r>
              <w:rPr>
                <w:rFonts w:ascii="Calibri" w:hAnsi="Calibri"/>
                <w:sz w:val="20"/>
              </w:rPr>
              <w:t>SOP-HCM-001</w:t>
            </w:r>
          </w:p>
        </w:tc>
      </w:tr>
      <w:tr>
        <w:tc>
          <w:tcPr>
            <w:tcW w:type="dxa" w:w="2835"/>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b/>
                <w:color w:val="5B5BD6"/>
                <w:sz w:val="20"/>
              </w:rPr>
              <w:t>Title</w:t>
            </w:r>
          </w:p>
        </w:tc>
        <w:tc>
          <w:tcPr>
            <w:tcW w:type="dxa" w:w="7710"/>
            <w:tcBorders>
              <w:top w:val="single" w:sz="4" w:space="0" w:color="C4B5FD"/>
              <w:left w:val="single" w:sz="4" w:space="0" w:color="C4B5FD"/>
              <w:bottom w:val="single" w:sz="4" w:space="0" w:color="C4B5FD"/>
              <w:right w:val="single" w:sz="4" w:space="0" w:color="C4B5FD"/>
            </w:tcBorders>
          </w:tcPr>
          <w:p>
            <w:r>
              <w:rPr>
                <w:rFonts w:ascii="Calibri" w:hAnsi="Calibri"/>
                <w:sz w:val="20"/>
              </w:rPr>
            </w:r>
          </w:p>
        </w:tc>
      </w:tr>
      <w:tr>
        <w:tc>
          <w:tcPr>
            <w:tcW w:type="dxa" w:w="2835"/>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b/>
                <w:color w:val="5B5BD6"/>
                <w:sz w:val="20"/>
              </w:rPr>
              <w:t>Version</w:t>
            </w:r>
          </w:p>
        </w:tc>
        <w:tc>
          <w:tcPr>
            <w:tcW w:type="dxa" w:w="7710"/>
            <w:tcBorders>
              <w:top w:val="single" w:sz="4" w:space="0" w:color="C4B5FD"/>
              <w:left w:val="single" w:sz="4" w:space="0" w:color="C4B5FD"/>
              <w:bottom w:val="single" w:sz="4" w:space="0" w:color="C4B5FD"/>
              <w:right w:val="single" w:sz="4" w:space="0" w:color="C4B5FD"/>
            </w:tcBorders>
          </w:tcPr>
          <w:p>
            <w:r>
              <w:rPr>
                <w:rFonts w:ascii="Calibri" w:hAnsi="Calibri"/>
                <w:sz w:val="20"/>
              </w:rPr>
              <w:t>1.0</w:t>
            </w:r>
          </w:p>
        </w:tc>
      </w:tr>
      <w:tr>
        <w:tc>
          <w:tcPr>
            <w:tcW w:type="dxa" w:w="2835"/>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b/>
                <w:color w:val="5B5BD6"/>
                <w:sz w:val="20"/>
              </w:rPr>
              <w:t>Effective Date</w:t>
            </w:r>
          </w:p>
        </w:tc>
        <w:tc>
          <w:tcPr>
            <w:tcW w:type="dxa" w:w="7710"/>
            <w:tcBorders>
              <w:top w:val="single" w:sz="4" w:space="0" w:color="C4B5FD"/>
              <w:left w:val="single" w:sz="4" w:space="0" w:color="C4B5FD"/>
              <w:bottom w:val="single" w:sz="4" w:space="0" w:color="C4B5FD"/>
              <w:right w:val="single" w:sz="4" w:space="0" w:color="C4B5FD"/>
            </w:tcBorders>
          </w:tcPr>
          <w:p>
            <w:r>
              <w:rPr>
                <w:rFonts w:ascii="Calibri" w:hAnsi="Calibri"/>
                <w:sz w:val="20"/>
              </w:rPr>
              <w:t>April 2026</w:t>
            </w:r>
          </w:p>
        </w:tc>
      </w:tr>
      <w:tr>
        <w:tc>
          <w:tcPr>
            <w:tcW w:type="dxa" w:w="2835"/>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b/>
                <w:color w:val="5B5BD6"/>
                <w:sz w:val="20"/>
              </w:rPr>
              <w:t>Process Owner</w:t>
            </w:r>
          </w:p>
        </w:tc>
        <w:tc>
          <w:tcPr>
            <w:tcW w:type="dxa" w:w="7710"/>
            <w:tcBorders>
              <w:top w:val="single" w:sz="4" w:space="0" w:color="C4B5FD"/>
              <w:left w:val="single" w:sz="4" w:space="0" w:color="C4B5FD"/>
              <w:bottom w:val="single" w:sz="4" w:space="0" w:color="C4B5FD"/>
              <w:right w:val="single" w:sz="4" w:space="0" w:color="C4B5FD"/>
            </w:tcBorders>
          </w:tcPr>
          <w:p>
            <w:r>
              <w:rPr>
                <w:rFonts w:ascii="Calibri" w:hAnsi="Calibri"/>
                <w:sz w:val="20"/>
              </w:rPr>
              <w:t>HR Operations Manager</w:t>
            </w:r>
          </w:p>
        </w:tc>
      </w:tr>
      <w:tr>
        <w:tc>
          <w:tcPr>
            <w:tcW w:type="dxa" w:w="2835"/>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b/>
                <w:color w:val="5B5BD6"/>
                <w:sz w:val="20"/>
              </w:rPr>
              <w:t>Approved By</w:t>
            </w:r>
          </w:p>
        </w:tc>
        <w:tc>
          <w:tcPr>
            <w:tcW w:type="dxa" w:w="7710"/>
            <w:tcBorders>
              <w:top w:val="single" w:sz="4" w:space="0" w:color="C4B5FD"/>
              <w:left w:val="single" w:sz="4" w:space="0" w:color="C4B5FD"/>
              <w:bottom w:val="single" w:sz="4" w:space="0" w:color="C4B5FD"/>
              <w:right w:val="single" w:sz="4" w:space="0" w:color="C4B5FD"/>
            </w:tcBorders>
          </w:tcPr>
          <w:p>
            <w:r>
              <w:rPr>
                <w:rFonts w:ascii="Calibri" w:hAnsi="Calibri"/>
                <w:sz w:val="20"/>
              </w:rPr>
              <w:t>CHRO / HR Director</w:t>
            </w:r>
          </w:p>
        </w:tc>
      </w:tr>
      <w:tr>
        <w:tc>
          <w:tcPr>
            <w:tcW w:type="dxa" w:w="2835"/>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b/>
                <w:color w:val="5B5BD6"/>
                <w:sz w:val="20"/>
              </w:rPr>
              <w:t>Next Review</w:t>
            </w:r>
          </w:p>
        </w:tc>
        <w:tc>
          <w:tcPr>
            <w:tcW w:type="dxa" w:w="7710"/>
            <w:tcBorders>
              <w:top w:val="single" w:sz="4" w:space="0" w:color="C4B5FD"/>
              <w:left w:val="single" w:sz="4" w:space="0" w:color="C4B5FD"/>
              <w:bottom w:val="single" w:sz="4" w:space="0" w:color="C4B5FD"/>
              <w:right w:val="single" w:sz="4" w:space="0" w:color="C4B5FD"/>
            </w:tcBorders>
          </w:tcPr>
          <w:p>
            <w:r>
              <w:rPr>
                <w:rFonts w:ascii="Calibri" w:hAnsi="Calibri"/>
                <w:sz w:val="20"/>
              </w:rPr>
              <w:t>April 2027</w:t>
            </w:r>
          </w:p>
        </w:tc>
      </w:tr>
    </w:tbl>
    <w:p/>
    <w:p>
      <w:pPr>
        <w:pStyle w:val="Heading2"/>
      </w:pPr>
      <w:r>
        <w:t>2. Purpose</w:t>
      </w:r>
    </w:p>
    <w:p>
      <w:pPr>
        <w:spacing w:after="80"/>
      </w:pPr>
      <w:r>
        <w:rPr>
          <w:rFonts w:ascii="Calibri" w:hAnsi="Calibri"/>
          <w:color w:val="111827"/>
          <w:sz w:val="22"/>
        </w:rPr>
        <w:t>This SOP defines the end-to-end process for hiring a new employee into the organisation using Oracle HCM Fusion. It ensures that all new hires are accurately recorded in the system with correct employment details, assignment information, and compliance documentation before their first day of work.</w:t>
      </w:r>
    </w:p>
    <w:p>
      <w:pPr>
        <w:pStyle w:val="Heading2"/>
      </w:pPr>
      <w:r>
        <w:t>3. Scope</w:t>
      </w:r>
    </w:p>
    <w:p>
      <w:pPr>
        <w:spacing w:after="80"/>
      </w:pPr>
      <w:r>
        <w:rPr>
          <w:rFonts w:ascii="Calibri" w:hAnsi="Calibri"/>
          <w:color w:val="111827"/>
          <w:sz w:val="22"/>
        </w:rPr>
        <w:t>This procedure applies to:</w:t>
      </w:r>
    </w:p>
    <w:p>
      <w:pPr>
        <w:pStyle w:val="ListBullet"/>
        <w:spacing w:after="60"/>
        <w:ind w:left="340"/>
      </w:pPr>
      <w:r>
        <w:rPr>
          <w:rFonts w:ascii="Calibri" w:hAnsi="Calibri"/>
          <w:sz w:val="22"/>
        </w:rPr>
        <w:t>All permanent and fixed-term new hires across all business units and locations.</w:t>
      </w:r>
    </w:p>
    <w:p>
      <w:pPr>
        <w:pStyle w:val="ListBullet"/>
        <w:spacing w:after="60"/>
        <w:ind w:left="340"/>
      </w:pPr>
      <w:r>
        <w:rPr>
          <w:rFonts w:ascii="Calibri" w:hAnsi="Calibri"/>
          <w:sz w:val="22"/>
        </w:rPr>
        <w:t>HR Specialists processing new hires in Oracle HCM Fusion.</w:t>
      </w:r>
    </w:p>
    <w:p>
      <w:pPr>
        <w:pStyle w:val="ListBullet"/>
        <w:spacing w:after="60"/>
        <w:ind w:left="340"/>
      </w:pPr>
      <w:r>
        <w:rPr>
          <w:rFonts w:ascii="Calibri" w:hAnsi="Calibri"/>
          <w:sz w:val="22"/>
        </w:rPr>
        <w:t>Recruitment-to-onboarding handoff scenarios where an approved offer has been issued.</w:t>
      </w:r>
    </w:p>
    <w:p>
      <w:pPr>
        <w:shd w:val="clear" w:color="auto" w:fill="FEF3C7"/>
        <w:spacing w:before="80" w:after="160"/>
      </w:pPr>
      <w:r>
        <w:rPr>
          <w:rFonts w:ascii="Calibri" w:hAnsi="Calibri"/>
          <w:b/>
          <w:color w:val="92400E"/>
          <w:sz w:val="20"/>
        </w:rPr>
        <w:t xml:space="preserve">📌 Note:  </w:t>
      </w:r>
      <w:r>
        <w:rPr>
          <w:rFonts w:ascii="Calibri" w:hAnsi="Calibri"/>
          <w:color w:val="111827"/>
          <w:sz w:val="20"/>
        </w:rPr>
        <w:t>Contingent Workers and Non-Workers follow separate SOPs (SOP-HCM-010, SOP-HCM-011).</w:t>
      </w:r>
    </w:p>
    <w:p>
      <w:pPr>
        <w:pStyle w:val="Heading2"/>
      </w:pPr>
      <w:r>
        <w:t>4. Pre-Conditions &amp; Prerequisites</w:t>
      </w:r>
    </w:p>
    <w:p>
      <w:pPr>
        <w:pStyle w:val="ListBullet"/>
        <w:spacing w:after="60"/>
        <w:ind w:left="340"/>
      </w:pPr>
      <w:r>
        <w:rPr>
          <w:rFonts w:ascii="Calibri" w:hAnsi="Calibri"/>
          <w:sz w:val="22"/>
        </w:rPr>
        <w:t>An approved Recruitment Requisition exists in Oracle Recruiting Cloud (ORC).</w:t>
      </w:r>
    </w:p>
    <w:p>
      <w:pPr>
        <w:pStyle w:val="ListBullet"/>
        <w:spacing w:after="60"/>
        <w:ind w:left="340"/>
      </w:pPr>
      <w:r>
        <w:rPr>
          <w:rFonts w:ascii="Calibri" w:hAnsi="Calibri"/>
          <w:sz w:val="22"/>
        </w:rPr>
        <w:t>A signed offer letter has been issued and accepted by the candidate.</w:t>
      </w:r>
    </w:p>
    <w:p>
      <w:pPr>
        <w:pStyle w:val="ListBullet"/>
        <w:spacing w:after="60"/>
        <w:ind w:left="340"/>
      </w:pPr>
      <w:r>
        <w:rPr>
          <w:rFonts w:ascii="Calibri" w:hAnsi="Calibri"/>
          <w:sz w:val="22"/>
        </w:rPr>
        <w:t>Background check and pre-employment screening have been cleared.</w:t>
      </w:r>
    </w:p>
    <w:p>
      <w:pPr>
        <w:pStyle w:val="ListBullet"/>
        <w:spacing w:after="60"/>
        <w:ind w:left="340"/>
      </w:pPr>
      <w:r>
        <w:rPr>
          <w:rFonts w:ascii="Calibri" w:hAnsi="Calibri"/>
          <w:sz w:val="22"/>
        </w:rPr>
        <w:t>A valid Position exists in Oracle HCM or has been created (see SOP-HCM-020).</w:t>
      </w:r>
    </w:p>
    <w:p>
      <w:pPr>
        <w:pStyle w:val="ListBullet"/>
        <w:spacing w:after="60"/>
        <w:ind w:left="340"/>
      </w:pPr>
      <w:r>
        <w:rPr>
          <w:rFonts w:ascii="Calibri" w:hAnsi="Calibri"/>
          <w:sz w:val="22"/>
        </w:rPr>
        <w:t>HR Specialist has "Add Person" or "Hire Employee" role-based permissions in Oracle HCM.</w:t>
      </w:r>
    </w:p>
    <w:p>
      <w:pPr>
        <w:pStyle w:val="ListBullet"/>
        <w:spacing w:after="60"/>
        <w:ind w:left="340"/>
      </w:pPr>
      <w:r>
        <w:rPr>
          <w:rFonts w:ascii="Calibri" w:hAnsi="Calibri"/>
          <w:sz w:val="22"/>
        </w:rPr>
        <w:t>Employee ID assignment policy confirmed with HRIS team.</w:t>
      </w:r>
    </w:p>
    <w:p>
      <w:pPr>
        <w:pStyle w:val="Heading2"/>
      </w:pPr>
      <w:r>
        <w:t>5. Roles &amp; Responsibilities</w:t>
      </w:r>
    </w:p>
    <w:tbl>
      <w:tblPr>
        <w:tblStyle w:val="TableGrid"/>
        <w:tblW w:type="auto" w:w="0"/>
        <w:jc w:val="left"/>
        <w:tblLook w:firstColumn="1" w:firstRow="1" w:lastColumn="0" w:lastRow="0" w:noHBand="0" w:noVBand="1" w:val="04A0"/>
      </w:tblPr>
      <w:tblGrid>
        <w:gridCol w:w="3009"/>
        <w:gridCol w:w="3009"/>
        <w:gridCol w:w="3009"/>
      </w:tblGrid>
      <w:tr>
        <w:tc>
          <w:tcPr>
            <w:tcW w:type="dxa" w:w="2268"/>
            <w:tcBorders>
              <w:top w:val="single" w:sz="4" w:space="0" w:color="C4B5FD"/>
              <w:left w:val="single" w:sz="4" w:space="0" w:color="C4B5FD"/>
              <w:bottom w:val="single" w:sz="4" w:space="0" w:color="C4B5FD"/>
              <w:right w:val="single" w:sz="4" w:space="0" w:color="C4B5FD"/>
            </w:tcBorders>
            <w:shd w:val="clear" w:color="auto" w:fill="5B5BD6"/>
          </w:tcPr>
          <w:p>
            <w:r>
              <w:rPr>
                <w:rFonts w:ascii="Calibri" w:hAnsi="Calibri"/>
                <w:b/>
                <w:color w:val="FFFFFF"/>
                <w:sz w:val="18"/>
              </w:rPr>
              <w:t>Role / Persona</w:t>
            </w:r>
          </w:p>
        </w:tc>
        <w:tc>
          <w:tcPr>
            <w:tcW w:type="dxa" w:w="2268"/>
            <w:tcBorders>
              <w:top w:val="single" w:sz="4" w:space="0" w:color="C4B5FD"/>
              <w:left w:val="single" w:sz="4" w:space="0" w:color="C4B5FD"/>
              <w:bottom w:val="single" w:sz="4" w:space="0" w:color="C4B5FD"/>
              <w:right w:val="single" w:sz="4" w:space="0" w:color="C4B5FD"/>
            </w:tcBorders>
            <w:shd w:val="clear" w:color="auto" w:fill="5B5BD6"/>
          </w:tcPr>
          <w:p>
            <w:r>
              <w:rPr>
                <w:rFonts w:ascii="Calibri" w:hAnsi="Calibri"/>
                <w:b/>
                <w:color w:val="FFFFFF"/>
                <w:sz w:val="18"/>
              </w:rPr>
              <w:t>System Access Level</w:t>
            </w:r>
          </w:p>
        </w:tc>
        <w:tc>
          <w:tcPr>
            <w:tcW w:type="dxa" w:w="6009"/>
            <w:tcBorders>
              <w:top w:val="single" w:sz="4" w:space="0" w:color="C4B5FD"/>
              <w:left w:val="single" w:sz="4" w:space="0" w:color="C4B5FD"/>
              <w:bottom w:val="single" w:sz="4" w:space="0" w:color="C4B5FD"/>
              <w:right w:val="single" w:sz="4" w:space="0" w:color="C4B5FD"/>
            </w:tcBorders>
            <w:shd w:val="clear" w:color="auto" w:fill="5B5BD6"/>
          </w:tcPr>
          <w:p>
            <w:r>
              <w:rPr>
                <w:rFonts w:ascii="Calibri" w:hAnsi="Calibri"/>
                <w:b/>
                <w:color w:val="FFFFFF"/>
                <w:sz w:val="18"/>
              </w:rPr>
              <w:t>Key Responsibilities</w:t>
            </w:r>
          </w:p>
        </w:tc>
      </w:tr>
      <w:tr>
        <w:tc>
          <w:tcPr>
            <w:tcW w:type="dxa" w:w="2268"/>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b/>
                <w:color w:val="111827"/>
                <w:sz w:val="18"/>
              </w:rPr>
              <w:t>HR Specialist</w:t>
            </w:r>
          </w:p>
        </w:tc>
        <w:tc>
          <w:tcPr>
            <w:tcW w:type="dxa" w:w="2268"/>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b w:val="0"/>
                <w:color w:val="111827"/>
                <w:sz w:val="18"/>
              </w:rPr>
              <w:t>Full Edit – Core HR</w:t>
            </w:r>
          </w:p>
        </w:tc>
        <w:tc>
          <w:tcPr>
            <w:tcW w:type="dxa" w:w="6009"/>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b w:val="0"/>
                <w:color w:val="111827"/>
                <w:sz w:val="18"/>
              </w:rPr>
              <w:t>Initiate hire action, complete all hire tabs, verify data accuracy, submit for approval.</w:t>
            </w:r>
          </w:p>
        </w:tc>
      </w:tr>
      <w:tr>
        <w:tc>
          <w:tcPr>
            <w:tcW w:type="dxa" w:w="2268"/>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b/>
                <w:color w:val="111827"/>
                <w:sz w:val="18"/>
              </w:rPr>
              <w:t>Hiring Manager</w:t>
            </w:r>
          </w:p>
        </w:tc>
        <w:tc>
          <w:tcPr>
            <w:tcW w:type="dxa" w:w="2268"/>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b w:val="0"/>
                <w:color w:val="111827"/>
                <w:sz w:val="18"/>
              </w:rPr>
              <w:t>View / Approve</w:t>
            </w:r>
          </w:p>
        </w:tc>
        <w:tc>
          <w:tcPr>
            <w:tcW w:type="dxa" w:w="6009"/>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b w:val="0"/>
                <w:color w:val="111827"/>
                <w:sz w:val="18"/>
              </w:rPr>
              <w:t>Confirm start date, position, and reporting line. Review and approve hire where workflow requires.</w:t>
            </w:r>
          </w:p>
        </w:tc>
      </w:tr>
      <w:tr>
        <w:tc>
          <w:tcPr>
            <w:tcW w:type="dxa" w:w="2268"/>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b/>
                <w:color w:val="111827"/>
                <w:sz w:val="18"/>
              </w:rPr>
              <w:t>HRIS Administrator</w:t>
            </w:r>
          </w:p>
        </w:tc>
        <w:tc>
          <w:tcPr>
            <w:tcW w:type="dxa" w:w="2268"/>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b w:val="0"/>
                <w:color w:val="111827"/>
                <w:sz w:val="18"/>
              </w:rPr>
              <w:t>System Admin</w:t>
            </w:r>
          </w:p>
        </w:tc>
        <w:tc>
          <w:tcPr>
            <w:tcW w:type="dxa" w:w="6009"/>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b w:val="0"/>
                <w:color w:val="111827"/>
                <w:sz w:val="18"/>
              </w:rPr>
              <w:t>Monitor workflow exceptions, manage position sync errors, resolve system holds.</w:t>
            </w:r>
          </w:p>
        </w:tc>
      </w:tr>
      <w:tr>
        <w:tc>
          <w:tcPr>
            <w:tcW w:type="dxa" w:w="2268"/>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b/>
                <w:color w:val="111827"/>
                <w:sz w:val="18"/>
              </w:rPr>
              <w:t>Payroll Team</w:t>
            </w:r>
          </w:p>
        </w:tc>
        <w:tc>
          <w:tcPr>
            <w:tcW w:type="dxa" w:w="2268"/>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b w:val="0"/>
                <w:color w:val="111827"/>
                <w:sz w:val="18"/>
              </w:rPr>
              <w:t>Payroll Processing</w:t>
            </w:r>
          </w:p>
        </w:tc>
        <w:tc>
          <w:tcPr>
            <w:tcW w:type="dxa" w:w="6009"/>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b w:val="0"/>
                <w:color w:val="111827"/>
                <w:sz w:val="18"/>
              </w:rPr>
              <w:t>Confirm payroll assignment details, element entries, and first-pay readiness.</w:t>
            </w:r>
          </w:p>
        </w:tc>
      </w:tr>
      <w:tr>
        <w:tc>
          <w:tcPr>
            <w:tcW w:type="dxa" w:w="2268"/>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b/>
                <w:color w:val="111827"/>
                <w:sz w:val="18"/>
              </w:rPr>
              <w:t>IT / Access Mgmt</w:t>
            </w:r>
          </w:p>
        </w:tc>
        <w:tc>
          <w:tcPr>
            <w:tcW w:type="dxa" w:w="2268"/>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b w:val="0"/>
                <w:color w:val="111827"/>
                <w:sz w:val="18"/>
              </w:rPr>
              <w:t>N/A</w:t>
            </w:r>
          </w:p>
        </w:tc>
        <w:tc>
          <w:tcPr>
            <w:tcW w:type="dxa" w:w="6009"/>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b w:val="0"/>
                <w:color w:val="111827"/>
                <w:sz w:val="18"/>
              </w:rPr>
              <w:t>Provision system accounts and access upon HR-triggered notification.</w:t>
            </w:r>
          </w:p>
        </w:tc>
      </w:tr>
    </w:tbl>
    <w:p/>
    <w:p>
      <w:pPr>
        <w:pStyle w:val="Heading2"/>
      </w:pPr>
      <w:r>
        <w:t>6. Process Steps</w:t>
      </w:r>
    </w:p>
    <w:tbl>
      <w:tblPr>
        <w:tblStyle w:val="TableGrid"/>
        <w:tblW w:type="auto" w:w="0"/>
        <w:jc w:val="left"/>
        <w:tblLook w:firstColumn="1" w:firstRow="1" w:lastColumn="0" w:lastRow="0" w:noHBand="0" w:noVBand="1" w:val="04A0"/>
      </w:tblPr>
      <w:tblGrid>
        <w:gridCol w:w="1805"/>
        <w:gridCol w:w="1805"/>
        <w:gridCol w:w="1805"/>
        <w:gridCol w:w="1805"/>
        <w:gridCol w:w="1805"/>
      </w:tblGrid>
      <w:tr>
        <w:tc>
          <w:tcPr>
            <w:tcW w:type="dxa" w:w="680"/>
            <w:tcBorders>
              <w:top w:val="single" w:sz="4" w:space="0" w:color="C4B5FD"/>
              <w:left w:val="single" w:sz="4" w:space="0" w:color="C4B5FD"/>
              <w:bottom w:val="single" w:sz="4" w:space="0" w:color="C4B5FD"/>
              <w:right w:val="single" w:sz="4" w:space="0" w:color="C4B5FD"/>
            </w:tcBorders>
            <w:shd w:val="clear" w:color="auto" w:fill="2D2B55"/>
          </w:tcPr>
          <w:p>
            <w:pPr>
              <w:jc w:val="center"/>
            </w:pPr>
            <w:r>
              <w:rPr>
                <w:rFonts w:ascii="Calibri" w:hAnsi="Calibri"/>
                <w:b/>
                <w:color w:val="FFFFFF"/>
                <w:sz w:val="18"/>
              </w:rPr>
              <w:t>Step</w:t>
            </w:r>
          </w:p>
        </w:tc>
        <w:tc>
          <w:tcPr>
            <w:tcW w:type="dxa" w:w="3288"/>
            <w:tcBorders>
              <w:top w:val="single" w:sz="4" w:space="0" w:color="C4B5FD"/>
              <w:left w:val="single" w:sz="4" w:space="0" w:color="C4B5FD"/>
              <w:bottom w:val="single" w:sz="4" w:space="0" w:color="C4B5FD"/>
              <w:right w:val="single" w:sz="4" w:space="0" w:color="C4B5FD"/>
            </w:tcBorders>
            <w:shd w:val="clear" w:color="auto" w:fill="2D2B55"/>
          </w:tcPr>
          <w:p>
            <w:pPr>
              <w:jc w:val="center"/>
            </w:pPr>
            <w:r>
              <w:rPr>
                <w:rFonts w:ascii="Calibri" w:hAnsi="Calibri"/>
                <w:b/>
                <w:color w:val="FFFFFF"/>
                <w:sz w:val="18"/>
              </w:rPr>
              <w:t>Action / Description</w:t>
            </w:r>
          </w:p>
        </w:tc>
        <w:tc>
          <w:tcPr>
            <w:tcW w:type="dxa" w:w="1814"/>
            <w:tcBorders>
              <w:top w:val="single" w:sz="4" w:space="0" w:color="C4B5FD"/>
              <w:left w:val="single" w:sz="4" w:space="0" w:color="C4B5FD"/>
              <w:bottom w:val="single" w:sz="4" w:space="0" w:color="C4B5FD"/>
              <w:right w:val="single" w:sz="4" w:space="0" w:color="C4B5FD"/>
            </w:tcBorders>
            <w:shd w:val="clear" w:color="auto" w:fill="2D2B55"/>
          </w:tcPr>
          <w:p>
            <w:pPr>
              <w:jc w:val="center"/>
            </w:pPr>
            <w:r>
              <w:rPr>
                <w:rFonts w:ascii="Calibri" w:hAnsi="Calibri"/>
                <w:b/>
                <w:color w:val="FFFFFF"/>
                <w:sz w:val="18"/>
              </w:rPr>
              <w:t>Responsible Role</w:t>
            </w:r>
          </w:p>
        </w:tc>
        <w:tc>
          <w:tcPr>
            <w:tcW w:type="dxa" w:w="2721"/>
            <w:tcBorders>
              <w:top w:val="single" w:sz="4" w:space="0" w:color="C4B5FD"/>
              <w:left w:val="single" w:sz="4" w:space="0" w:color="C4B5FD"/>
              <w:bottom w:val="single" w:sz="4" w:space="0" w:color="C4B5FD"/>
              <w:right w:val="single" w:sz="4" w:space="0" w:color="C4B5FD"/>
            </w:tcBorders>
            <w:shd w:val="clear" w:color="auto" w:fill="2D2B55"/>
          </w:tcPr>
          <w:p>
            <w:pPr>
              <w:jc w:val="center"/>
            </w:pPr>
            <w:r>
              <w:rPr>
                <w:rFonts w:ascii="Calibri" w:hAnsi="Calibri"/>
                <w:b/>
                <w:color w:val="FFFFFF"/>
                <w:sz w:val="18"/>
              </w:rPr>
              <w:t>Oracle HCM Navigation</w:t>
            </w:r>
          </w:p>
        </w:tc>
        <w:tc>
          <w:tcPr>
            <w:tcW w:type="dxa" w:w="2041"/>
            <w:tcBorders>
              <w:top w:val="single" w:sz="4" w:space="0" w:color="C4B5FD"/>
              <w:left w:val="single" w:sz="4" w:space="0" w:color="C4B5FD"/>
              <w:bottom w:val="single" w:sz="4" w:space="0" w:color="C4B5FD"/>
              <w:right w:val="single" w:sz="4" w:space="0" w:color="C4B5FD"/>
            </w:tcBorders>
            <w:shd w:val="clear" w:color="auto" w:fill="2D2B55"/>
          </w:tcPr>
          <w:p>
            <w:pPr>
              <w:jc w:val="center"/>
            </w:pPr>
            <w:r>
              <w:rPr>
                <w:rFonts w:ascii="Calibri" w:hAnsi="Calibri"/>
                <w:b/>
                <w:color w:val="FFFFFF"/>
                <w:sz w:val="18"/>
              </w:rPr>
              <w:t>Expected Outcome</w:t>
            </w:r>
          </w:p>
        </w:tc>
      </w:tr>
      <w:tr>
        <w:tc>
          <w:tcPr>
            <w:tcW w:type="dxa" w:w="680"/>
            <w:tcBorders>
              <w:top w:val="single" w:sz="4" w:space="0" w:color="C4B5FD"/>
              <w:left w:val="single" w:sz="4" w:space="0" w:color="C4B5FD"/>
              <w:bottom w:val="single" w:sz="4" w:space="0" w:color="C4B5FD"/>
              <w:right w:val="single" w:sz="4" w:space="0" w:color="C4B5FD"/>
            </w:tcBorders>
            <w:shd w:val="clear" w:color="auto" w:fill="F8F7FF"/>
          </w:tcPr>
          <w:p>
            <w:pPr>
              <w:jc w:val="center"/>
            </w:pPr>
            <w:r>
              <w:rPr>
                <w:rFonts w:ascii="Calibri" w:hAnsi="Calibri"/>
                <w:b/>
                <w:color w:val="5B5BD6"/>
                <w:sz w:val="20"/>
              </w:rPr>
              <w:t>1</w:t>
            </w:r>
          </w:p>
        </w:tc>
        <w:tc>
          <w:tcPr>
            <w:tcW w:type="dxa" w:w="3288"/>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color w:val="111827"/>
                <w:sz w:val="18"/>
              </w:rPr>
              <w:t>Receive and verify approved offer details from Recruiting (ORC) or direct hire request. Confirm: position, grade, start date, work location, line manager.</w:t>
            </w:r>
          </w:p>
        </w:tc>
        <w:tc>
          <w:tcPr>
            <w:tcW w:type="dxa" w:w="1814"/>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color w:val="111827"/>
                <w:sz w:val="18"/>
              </w:rPr>
              <w:t>HR Specialist</w:t>
            </w:r>
          </w:p>
        </w:tc>
        <w:tc>
          <w:tcPr>
            <w:tcW w:type="dxa" w:w="2721"/>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color w:val="111827"/>
                <w:sz w:val="18"/>
              </w:rPr>
              <w:t>Oracle ORC → Candidate Management → Offers</w:t>
            </w:r>
          </w:p>
        </w:tc>
        <w:tc>
          <w:tcPr>
            <w:tcW w:type="dxa" w:w="2041"/>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color w:val="111827"/>
                <w:sz w:val="18"/>
              </w:rPr>
              <w:t>Verified hiring package ready for data entry.</w:t>
            </w:r>
          </w:p>
        </w:tc>
      </w:tr>
      <w:tr>
        <w:tc>
          <w:tcPr>
            <w:tcW w:type="dxa" w:w="680"/>
            <w:tcBorders>
              <w:top w:val="single" w:sz="4" w:space="0" w:color="C4B5FD"/>
              <w:left w:val="single" w:sz="4" w:space="0" w:color="C4B5FD"/>
              <w:bottom w:val="single" w:sz="4" w:space="0" w:color="C4B5FD"/>
              <w:right w:val="single" w:sz="4" w:space="0" w:color="C4B5FD"/>
            </w:tcBorders>
            <w:shd w:val="clear" w:color="auto" w:fill="FFFFFF"/>
          </w:tcPr>
          <w:p>
            <w:pPr>
              <w:jc w:val="center"/>
            </w:pPr>
            <w:r>
              <w:rPr>
                <w:rFonts w:ascii="Calibri" w:hAnsi="Calibri"/>
                <w:b/>
                <w:color w:val="5B5BD6"/>
                <w:sz w:val="20"/>
              </w:rPr>
              <w:t>2</w:t>
            </w:r>
          </w:p>
        </w:tc>
        <w:tc>
          <w:tcPr>
            <w:tcW w:type="dxa" w:w="3288"/>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color w:val="111827"/>
                <w:sz w:val="18"/>
              </w:rPr>
              <w:t>Navigate to the Hire Employee action in Oracle HCM. Go to: My Client Groups → Workforce Structures → Person Management → Add Person (or use Quick Action: "Hire Employee").</w:t>
            </w:r>
          </w:p>
        </w:tc>
        <w:tc>
          <w:tcPr>
            <w:tcW w:type="dxa" w:w="1814"/>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color w:val="111827"/>
                <w:sz w:val="18"/>
              </w:rPr>
              <w:t>HR Specialist</w:t>
            </w:r>
          </w:p>
        </w:tc>
        <w:tc>
          <w:tcPr>
            <w:tcW w:type="dxa" w:w="2721"/>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color w:val="111827"/>
                <w:sz w:val="18"/>
              </w:rPr>
              <w:t>Navigator → My Client Groups → Hire an Employee</w:t>
            </w:r>
          </w:p>
        </w:tc>
        <w:tc>
          <w:tcPr>
            <w:tcW w:type="dxa" w:w="2041"/>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color w:val="111827"/>
                <w:sz w:val="18"/>
              </w:rPr>
              <w:t>Hire action screen opened.</w:t>
            </w:r>
          </w:p>
        </w:tc>
      </w:tr>
      <w:tr>
        <w:tc>
          <w:tcPr>
            <w:tcW w:type="dxa" w:w="680"/>
            <w:tcBorders>
              <w:top w:val="single" w:sz="4" w:space="0" w:color="C4B5FD"/>
              <w:left w:val="single" w:sz="4" w:space="0" w:color="C4B5FD"/>
              <w:bottom w:val="single" w:sz="4" w:space="0" w:color="C4B5FD"/>
              <w:right w:val="single" w:sz="4" w:space="0" w:color="C4B5FD"/>
            </w:tcBorders>
            <w:shd w:val="clear" w:color="auto" w:fill="F8F7FF"/>
          </w:tcPr>
          <w:p>
            <w:pPr>
              <w:jc w:val="center"/>
            </w:pPr>
            <w:r>
              <w:rPr>
                <w:rFonts w:ascii="Calibri" w:hAnsi="Calibri"/>
                <w:b/>
                <w:color w:val="5B5BD6"/>
                <w:sz w:val="20"/>
              </w:rPr>
              <w:t>3</w:t>
            </w:r>
          </w:p>
        </w:tc>
        <w:tc>
          <w:tcPr>
            <w:tcW w:type="dxa" w:w="3288"/>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color w:val="111827"/>
                <w:sz w:val="18"/>
              </w:rPr>
              <w:t>Enter Personal Information: Legal first name, last name, date of birth, national ID / Emirates ID, gender, marital status, nationality.</w:t>
            </w:r>
          </w:p>
        </w:tc>
        <w:tc>
          <w:tcPr>
            <w:tcW w:type="dxa" w:w="1814"/>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color w:val="111827"/>
                <w:sz w:val="18"/>
              </w:rPr>
              <w:t>HR Specialist</w:t>
            </w:r>
          </w:p>
        </w:tc>
        <w:tc>
          <w:tcPr>
            <w:tcW w:type="dxa" w:w="2721"/>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color w:val="111827"/>
                <w:sz w:val="18"/>
              </w:rPr>
              <w:t>Hire Employee → Personal Information tab</w:t>
            </w:r>
          </w:p>
        </w:tc>
        <w:tc>
          <w:tcPr>
            <w:tcW w:type="dxa" w:w="2041"/>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color w:val="111827"/>
                <w:sz w:val="18"/>
              </w:rPr>
              <w:t>Personal data captured.</w:t>
            </w:r>
          </w:p>
        </w:tc>
      </w:tr>
      <w:tr>
        <w:tc>
          <w:tcPr>
            <w:tcW w:type="dxa" w:w="680"/>
            <w:tcBorders>
              <w:top w:val="single" w:sz="4" w:space="0" w:color="C4B5FD"/>
              <w:left w:val="single" w:sz="4" w:space="0" w:color="C4B5FD"/>
              <w:bottom w:val="single" w:sz="4" w:space="0" w:color="C4B5FD"/>
              <w:right w:val="single" w:sz="4" w:space="0" w:color="C4B5FD"/>
            </w:tcBorders>
            <w:shd w:val="clear" w:color="auto" w:fill="FFFFFF"/>
          </w:tcPr>
          <w:p>
            <w:pPr>
              <w:jc w:val="center"/>
            </w:pPr>
            <w:r>
              <w:rPr>
                <w:rFonts w:ascii="Calibri" w:hAnsi="Calibri"/>
                <w:b/>
                <w:color w:val="5B5BD6"/>
                <w:sz w:val="20"/>
              </w:rPr>
              <w:t>4</w:t>
            </w:r>
          </w:p>
        </w:tc>
        <w:tc>
          <w:tcPr>
            <w:tcW w:type="dxa" w:w="3288"/>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color w:val="111827"/>
                <w:sz w:val="18"/>
              </w:rPr>
              <w:t>Enter Employment Information: Hire date, worker type (Employee), legal entity, business unit, department.</w:t>
            </w:r>
          </w:p>
        </w:tc>
        <w:tc>
          <w:tcPr>
            <w:tcW w:type="dxa" w:w="1814"/>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color w:val="111827"/>
                <w:sz w:val="18"/>
              </w:rPr>
              <w:t>HR Specialist</w:t>
            </w:r>
          </w:p>
        </w:tc>
        <w:tc>
          <w:tcPr>
            <w:tcW w:type="dxa" w:w="2721"/>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color w:val="111827"/>
                <w:sz w:val="18"/>
              </w:rPr>
              <w:t>Hire Employee → Employment Information tab</w:t>
            </w:r>
          </w:p>
        </w:tc>
        <w:tc>
          <w:tcPr>
            <w:tcW w:type="dxa" w:w="2041"/>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color w:val="111827"/>
                <w:sz w:val="18"/>
              </w:rPr>
              <w:t>Employment record initiated.</w:t>
            </w:r>
          </w:p>
        </w:tc>
      </w:tr>
      <w:tr>
        <w:tc>
          <w:tcPr>
            <w:tcW w:type="dxa" w:w="680"/>
            <w:tcBorders>
              <w:top w:val="single" w:sz="4" w:space="0" w:color="C4B5FD"/>
              <w:left w:val="single" w:sz="4" w:space="0" w:color="C4B5FD"/>
              <w:bottom w:val="single" w:sz="4" w:space="0" w:color="C4B5FD"/>
              <w:right w:val="single" w:sz="4" w:space="0" w:color="C4B5FD"/>
            </w:tcBorders>
            <w:shd w:val="clear" w:color="auto" w:fill="F8F7FF"/>
          </w:tcPr>
          <w:p>
            <w:pPr>
              <w:jc w:val="center"/>
            </w:pPr>
            <w:r>
              <w:rPr>
                <w:rFonts w:ascii="Calibri" w:hAnsi="Calibri"/>
                <w:b/>
                <w:color w:val="5B5BD6"/>
                <w:sz w:val="20"/>
              </w:rPr>
              <w:t>5</w:t>
            </w:r>
          </w:p>
        </w:tc>
        <w:tc>
          <w:tcPr>
            <w:tcW w:type="dxa" w:w="3288"/>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color w:val="111827"/>
                <w:sz w:val="18"/>
              </w:rPr>
              <w:t>Enter Assignment Details: Position, job, grade, location, working hours, FTE, manager (line manager), payroll relationship.</w:t>
            </w:r>
          </w:p>
        </w:tc>
        <w:tc>
          <w:tcPr>
            <w:tcW w:type="dxa" w:w="1814"/>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color w:val="111827"/>
                <w:sz w:val="18"/>
              </w:rPr>
              <w:t>HR Specialist</w:t>
            </w:r>
          </w:p>
        </w:tc>
        <w:tc>
          <w:tcPr>
            <w:tcW w:type="dxa" w:w="2721"/>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color w:val="111827"/>
                <w:sz w:val="18"/>
              </w:rPr>
              <w:t>Hire Employee → Assignment tab</w:t>
            </w:r>
          </w:p>
        </w:tc>
        <w:tc>
          <w:tcPr>
            <w:tcW w:type="dxa" w:w="2041"/>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color w:val="111827"/>
                <w:sz w:val="18"/>
              </w:rPr>
              <w:t>Assignment details recorded.</w:t>
            </w:r>
          </w:p>
        </w:tc>
      </w:tr>
      <w:tr>
        <w:tc>
          <w:tcPr>
            <w:tcW w:type="dxa" w:w="680"/>
            <w:tcBorders>
              <w:top w:val="single" w:sz="4" w:space="0" w:color="C4B5FD"/>
              <w:left w:val="single" w:sz="4" w:space="0" w:color="C4B5FD"/>
              <w:bottom w:val="single" w:sz="4" w:space="0" w:color="C4B5FD"/>
              <w:right w:val="single" w:sz="4" w:space="0" w:color="C4B5FD"/>
            </w:tcBorders>
            <w:shd w:val="clear" w:color="auto" w:fill="FFFFFF"/>
          </w:tcPr>
          <w:p>
            <w:pPr>
              <w:jc w:val="center"/>
            </w:pPr>
            <w:r>
              <w:rPr>
                <w:rFonts w:ascii="Calibri" w:hAnsi="Calibri"/>
                <w:b/>
                <w:color w:val="5B5BD6"/>
                <w:sz w:val="20"/>
              </w:rPr>
              <w:t>6</w:t>
            </w:r>
          </w:p>
        </w:tc>
        <w:tc>
          <w:tcPr>
            <w:tcW w:type="dxa" w:w="3288"/>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color w:val="111827"/>
                <w:sz w:val="18"/>
              </w:rPr>
              <w:t>Enter Compensation (if applicable): Salary basis, salary amount, currency. Link to correct payroll.</w:t>
            </w:r>
          </w:p>
        </w:tc>
        <w:tc>
          <w:tcPr>
            <w:tcW w:type="dxa" w:w="1814"/>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color w:val="111827"/>
                <w:sz w:val="18"/>
              </w:rPr>
              <w:t>HR Specialist</w:t>
            </w:r>
          </w:p>
        </w:tc>
        <w:tc>
          <w:tcPr>
            <w:tcW w:type="dxa" w:w="2721"/>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color w:val="111827"/>
                <w:sz w:val="18"/>
              </w:rPr>
              <w:t>Hire Employee → Compensation tab</w:t>
            </w:r>
          </w:p>
        </w:tc>
        <w:tc>
          <w:tcPr>
            <w:tcW w:type="dxa" w:w="2041"/>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color w:val="111827"/>
                <w:sz w:val="18"/>
              </w:rPr>
              <w:t>Salary captured; payroll linked.</w:t>
            </w:r>
          </w:p>
        </w:tc>
      </w:tr>
      <w:tr>
        <w:tc>
          <w:tcPr>
            <w:tcW w:type="dxa" w:w="680"/>
            <w:tcBorders>
              <w:top w:val="single" w:sz="4" w:space="0" w:color="C4B5FD"/>
              <w:left w:val="single" w:sz="4" w:space="0" w:color="C4B5FD"/>
              <w:bottom w:val="single" w:sz="4" w:space="0" w:color="C4B5FD"/>
              <w:right w:val="single" w:sz="4" w:space="0" w:color="C4B5FD"/>
            </w:tcBorders>
            <w:shd w:val="clear" w:color="auto" w:fill="F8F7FF"/>
          </w:tcPr>
          <w:p>
            <w:pPr>
              <w:jc w:val="center"/>
            </w:pPr>
            <w:r>
              <w:rPr>
                <w:rFonts w:ascii="Calibri" w:hAnsi="Calibri"/>
                <w:b/>
                <w:color w:val="5B5BD6"/>
                <w:sz w:val="20"/>
              </w:rPr>
              <w:t>7</w:t>
            </w:r>
          </w:p>
        </w:tc>
        <w:tc>
          <w:tcPr>
            <w:tcW w:type="dxa" w:w="3288"/>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color w:val="111827"/>
                <w:sz w:val="18"/>
              </w:rPr>
              <w:t>Upload required documents: Employment contract, ID copies, offer letter. Attach to Document Records.</w:t>
            </w:r>
          </w:p>
        </w:tc>
        <w:tc>
          <w:tcPr>
            <w:tcW w:type="dxa" w:w="1814"/>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color w:val="111827"/>
                <w:sz w:val="18"/>
              </w:rPr>
              <w:t>HR Specialist</w:t>
            </w:r>
          </w:p>
        </w:tc>
        <w:tc>
          <w:tcPr>
            <w:tcW w:type="dxa" w:w="2721"/>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color w:val="111827"/>
                <w:sz w:val="18"/>
              </w:rPr>
              <w:t>Me → Document Records → Add Document</w:t>
            </w:r>
          </w:p>
        </w:tc>
        <w:tc>
          <w:tcPr>
            <w:tcW w:type="dxa" w:w="2041"/>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color w:val="111827"/>
                <w:sz w:val="18"/>
              </w:rPr>
              <w:t>Documents stored against employee profile.</w:t>
            </w:r>
          </w:p>
        </w:tc>
      </w:tr>
      <w:tr>
        <w:tc>
          <w:tcPr>
            <w:tcW w:type="dxa" w:w="680"/>
            <w:tcBorders>
              <w:top w:val="single" w:sz="4" w:space="0" w:color="C4B5FD"/>
              <w:left w:val="single" w:sz="4" w:space="0" w:color="C4B5FD"/>
              <w:bottom w:val="single" w:sz="4" w:space="0" w:color="C4B5FD"/>
              <w:right w:val="single" w:sz="4" w:space="0" w:color="C4B5FD"/>
            </w:tcBorders>
            <w:shd w:val="clear" w:color="auto" w:fill="FFFFFF"/>
          </w:tcPr>
          <w:p>
            <w:pPr>
              <w:jc w:val="center"/>
            </w:pPr>
            <w:r>
              <w:rPr>
                <w:rFonts w:ascii="Calibri" w:hAnsi="Calibri"/>
                <w:b/>
                <w:color w:val="5B5BD6"/>
                <w:sz w:val="20"/>
              </w:rPr>
              <w:t>8</w:t>
            </w:r>
          </w:p>
        </w:tc>
        <w:tc>
          <w:tcPr>
            <w:tcW w:type="dxa" w:w="3288"/>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color w:val="111827"/>
                <w:sz w:val="18"/>
              </w:rPr>
              <w:t>Review all entries for accuracy. Cross-check against signed offer letter. Validate: grade / grade step, manager name, start date.</w:t>
            </w:r>
          </w:p>
        </w:tc>
        <w:tc>
          <w:tcPr>
            <w:tcW w:type="dxa" w:w="1814"/>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color w:val="111827"/>
                <w:sz w:val="18"/>
              </w:rPr>
              <w:t>HR Specialist</w:t>
            </w:r>
          </w:p>
        </w:tc>
        <w:tc>
          <w:tcPr>
            <w:tcW w:type="dxa" w:w="2721"/>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color w:val="111827"/>
                <w:sz w:val="18"/>
              </w:rPr>
              <w:t>Hire Summary Review screen</w:t>
            </w:r>
          </w:p>
        </w:tc>
        <w:tc>
          <w:tcPr>
            <w:tcW w:type="dxa" w:w="2041"/>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color w:val="111827"/>
                <w:sz w:val="18"/>
              </w:rPr>
              <w:t>Data verified; no mismatches.</w:t>
            </w:r>
          </w:p>
        </w:tc>
      </w:tr>
      <w:tr>
        <w:tc>
          <w:tcPr>
            <w:tcW w:type="dxa" w:w="680"/>
            <w:tcBorders>
              <w:top w:val="single" w:sz="4" w:space="0" w:color="C4B5FD"/>
              <w:left w:val="single" w:sz="4" w:space="0" w:color="C4B5FD"/>
              <w:bottom w:val="single" w:sz="4" w:space="0" w:color="C4B5FD"/>
              <w:right w:val="single" w:sz="4" w:space="0" w:color="C4B5FD"/>
            </w:tcBorders>
            <w:shd w:val="clear" w:color="auto" w:fill="F8F7FF"/>
          </w:tcPr>
          <w:p>
            <w:pPr>
              <w:jc w:val="center"/>
            </w:pPr>
            <w:r>
              <w:rPr>
                <w:rFonts w:ascii="Calibri" w:hAnsi="Calibri"/>
                <w:b/>
                <w:color w:val="5B5BD6"/>
                <w:sz w:val="20"/>
              </w:rPr>
              <w:t>9</w:t>
            </w:r>
          </w:p>
        </w:tc>
        <w:tc>
          <w:tcPr>
            <w:tcW w:type="dxa" w:w="3288"/>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color w:val="111827"/>
                <w:sz w:val="18"/>
              </w:rPr>
              <w:t>Submit the hire transaction. System triggers workflow approvals as per configured rules.</w:t>
            </w:r>
          </w:p>
        </w:tc>
        <w:tc>
          <w:tcPr>
            <w:tcW w:type="dxa" w:w="1814"/>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color w:val="111827"/>
                <w:sz w:val="18"/>
              </w:rPr>
              <w:t>HR Specialist</w:t>
            </w:r>
          </w:p>
        </w:tc>
        <w:tc>
          <w:tcPr>
            <w:tcW w:type="dxa" w:w="2721"/>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color w:val="111827"/>
                <w:sz w:val="18"/>
              </w:rPr>
              <w:t>Submit → Confirm</w:t>
            </w:r>
          </w:p>
        </w:tc>
        <w:tc>
          <w:tcPr>
            <w:tcW w:type="dxa" w:w="2041"/>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color w:val="111827"/>
                <w:sz w:val="18"/>
              </w:rPr>
              <w:t>Workflow approval request sent to Hiring Manager.</w:t>
            </w:r>
          </w:p>
        </w:tc>
      </w:tr>
      <w:tr>
        <w:tc>
          <w:tcPr>
            <w:tcW w:type="dxa" w:w="680"/>
            <w:tcBorders>
              <w:top w:val="single" w:sz="4" w:space="0" w:color="C4B5FD"/>
              <w:left w:val="single" w:sz="4" w:space="0" w:color="C4B5FD"/>
              <w:bottom w:val="single" w:sz="4" w:space="0" w:color="C4B5FD"/>
              <w:right w:val="single" w:sz="4" w:space="0" w:color="C4B5FD"/>
            </w:tcBorders>
            <w:shd w:val="clear" w:color="auto" w:fill="FFFFFF"/>
          </w:tcPr>
          <w:p>
            <w:pPr>
              <w:jc w:val="center"/>
            </w:pPr>
            <w:r>
              <w:rPr>
                <w:rFonts w:ascii="Calibri" w:hAnsi="Calibri"/>
                <w:b/>
                <w:color w:val="5B5BD6"/>
                <w:sz w:val="20"/>
              </w:rPr>
              <w:t>10</w:t>
            </w:r>
          </w:p>
        </w:tc>
        <w:tc>
          <w:tcPr>
            <w:tcW w:type="dxa" w:w="3288"/>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color w:val="111827"/>
                <w:sz w:val="18"/>
              </w:rPr>
              <w:t>Hiring Manager reviews and approves the hire transaction in their Worklist / Bell notifications.</w:t>
            </w:r>
          </w:p>
        </w:tc>
        <w:tc>
          <w:tcPr>
            <w:tcW w:type="dxa" w:w="1814"/>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color w:val="111827"/>
                <w:sz w:val="18"/>
              </w:rPr>
              <w:t>Hiring Manager</w:t>
            </w:r>
          </w:p>
        </w:tc>
        <w:tc>
          <w:tcPr>
            <w:tcW w:type="dxa" w:w="2721"/>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color w:val="111827"/>
                <w:sz w:val="18"/>
              </w:rPr>
              <w:t>Bell Icon → Worklist → Approve</w:t>
            </w:r>
          </w:p>
        </w:tc>
        <w:tc>
          <w:tcPr>
            <w:tcW w:type="dxa" w:w="2041"/>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color w:val="111827"/>
                <w:sz w:val="18"/>
              </w:rPr>
              <w:t>Hire approved; employee record activated.</w:t>
            </w:r>
          </w:p>
        </w:tc>
      </w:tr>
      <w:tr>
        <w:tc>
          <w:tcPr>
            <w:tcW w:type="dxa" w:w="680"/>
            <w:tcBorders>
              <w:top w:val="single" w:sz="4" w:space="0" w:color="C4B5FD"/>
              <w:left w:val="single" w:sz="4" w:space="0" w:color="C4B5FD"/>
              <w:bottom w:val="single" w:sz="4" w:space="0" w:color="C4B5FD"/>
              <w:right w:val="single" w:sz="4" w:space="0" w:color="C4B5FD"/>
            </w:tcBorders>
            <w:shd w:val="clear" w:color="auto" w:fill="F8F7FF"/>
          </w:tcPr>
          <w:p>
            <w:pPr>
              <w:jc w:val="center"/>
            </w:pPr>
            <w:r>
              <w:rPr>
                <w:rFonts w:ascii="Calibri" w:hAnsi="Calibri"/>
                <w:b/>
                <w:color w:val="5B5BD6"/>
                <w:sz w:val="20"/>
              </w:rPr>
              <w:t>11</w:t>
            </w:r>
          </w:p>
        </w:tc>
        <w:tc>
          <w:tcPr>
            <w:tcW w:type="dxa" w:w="3288"/>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color w:val="111827"/>
                <w:sz w:val="18"/>
              </w:rPr>
              <w:t>HRIS Administrator confirms position headcount updated. Check: Position FTE count, headcount reporting.</w:t>
            </w:r>
          </w:p>
        </w:tc>
        <w:tc>
          <w:tcPr>
            <w:tcW w:type="dxa" w:w="1814"/>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color w:val="111827"/>
                <w:sz w:val="18"/>
              </w:rPr>
              <w:t>HRIS Administrator</w:t>
            </w:r>
          </w:p>
        </w:tc>
        <w:tc>
          <w:tcPr>
            <w:tcW w:type="dxa" w:w="2721"/>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color w:val="111827"/>
                <w:sz w:val="18"/>
              </w:rPr>
              <w:t>Position Management → Position Details</w:t>
            </w:r>
          </w:p>
        </w:tc>
        <w:tc>
          <w:tcPr>
            <w:tcW w:type="dxa" w:w="2041"/>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color w:val="111827"/>
                <w:sz w:val="18"/>
              </w:rPr>
              <w:t>Headcount updated in system.</w:t>
            </w:r>
          </w:p>
        </w:tc>
      </w:tr>
      <w:tr>
        <w:tc>
          <w:tcPr>
            <w:tcW w:type="dxa" w:w="680"/>
            <w:tcBorders>
              <w:top w:val="single" w:sz="4" w:space="0" w:color="C4B5FD"/>
              <w:left w:val="single" w:sz="4" w:space="0" w:color="C4B5FD"/>
              <w:bottom w:val="single" w:sz="4" w:space="0" w:color="C4B5FD"/>
              <w:right w:val="single" w:sz="4" w:space="0" w:color="C4B5FD"/>
            </w:tcBorders>
            <w:shd w:val="clear" w:color="auto" w:fill="FFFFFF"/>
          </w:tcPr>
          <w:p>
            <w:pPr>
              <w:jc w:val="center"/>
            </w:pPr>
            <w:r>
              <w:rPr>
                <w:rFonts w:ascii="Calibri" w:hAnsi="Calibri"/>
                <w:b/>
                <w:color w:val="5B5BD6"/>
                <w:sz w:val="20"/>
              </w:rPr>
              <w:t>12</w:t>
            </w:r>
          </w:p>
        </w:tc>
        <w:tc>
          <w:tcPr>
            <w:tcW w:type="dxa" w:w="3288"/>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color w:val="111827"/>
                <w:sz w:val="18"/>
              </w:rPr>
              <w:t>HR Specialist initiates Journey / Onboarding checklist for the new employee.</w:t>
            </w:r>
          </w:p>
        </w:tc>
        <w:tc>
          <w:tcPr>
            <w:tcW w:type="dxa" w:w="1814"/>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color w:val="111827"/>
                <w:sz w:val="18"/>
              </w:rPr>
              <w:t>HR Specialist</w:t>
            </w:r>
          </w:p>
        </w:tc>
        <w:tc>
          <w:tcPr>
            <w:tcW w:type="dxa" w:w="2721"/>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color w:val="111827"/>
                <w:sz w:val="18"/>
              </w:rPr>
              <w:t>Me → Journeys → Assign Journey → "New Hire Onboarding"</w:t>
            </w:r>
          </w:p>
        </w:tc>
        <w:tc>
          <w:tcPr>
            <w:tcW w:type="dxa" w:w="2041"/>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color w:val="111827"/>
                <w:sz w:val="18"/>
              </w:rPr>
              <w:t>Onboarding journey launched.</w:t>
            </w:r>
          </w:p>
        </w:tc>
      </w:tr>
      <w:tr>
        <w:tc>
          <w:tcPr>
            <w:tcW w:type="dxa" w:w="680"/>
            <w:tcBorders>
              <w:top w:val="single" w:sz="4" w:space="0" w:color="C4B5FD"/>
              <w:left w:val="single" w:sz="4" w:space="0" w:color="C4B5FD"/>
              <w:bottom w:val="single" w:sz="4" w:space="0" w:color="C4B5FD"/>
              <w:right w:val="single" w:sz="4" w:space="0" w:color="C4B5FD"/>
            </w:tcBorders>
            <w:shd w:val="clear" w:color="auto" w:fill="F8F7FF"/>
          </w:tcPr>
          <w:p>
            <w:pPr>
              <w:jc w:val="center"/>
            </w:pPr>
            <w:r>
              <w:rPr>
                <w:rFonts w:ascii="Calibri" w:hAnsi="Calibri"/>
                <w:b/>
                <w:color w:val="5B5BD6"/>
                <w:sz w:val="20"/>
              </w:rPr>
              <w:t>13</w:t>
            </w:r>
          </w:p>
        </w:tc>
        <w:tc>
          <w:tcPr>
            <w:tcW w:type="dxa" w:w="3288"/>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color w:val="111827"/>
                <w:sz w:val="18"/>
              </w:rPr>
              <w:t>Trigger IT access request, payroll notification, and welcome communication per onboarding SLA.</w:t>
            </w:r>
          </w:p>
        </w:tc>
        <w:tc>
          <w:tcPr>
            <w:tcW w:type="dxa" w:w="1814"/>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color w:val="111827"/>
                <w:sz w:val="18"/>
              </w:rPr>
              <w:t>HR Specialist</w:t>
            </w:r>
          </w:p>
        </w:tc>
        <w:tc>
          <w:tcPr>
            <w:tcW w:type="dxa" w:w="2721"/>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color w:val="111827"/>
                <w:sz w:val="18"/>
              </w:rPr>
              <w:t>Email/ServiceNow / Integration trigger</w:t>
            </w:r>
          </w:p>
        </w:tc>
        <w:tc>
          <w:tcPr>
            <w:tcW w:type="dxa" w:w="2041"/>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color w:val="111827"/>
                <w:sz w:val="18"/>
              </w:rPr>
              <w:t>All downstream teams notified.</w:t>
            </w:r>
          </w:p>
        </w:tc>
      </w:tr>
      <w:tr>
        <w:tc>
          <w:tcPr>
            <w:tcW w:type="dxa" w:w="680"/>
            <w:tcBorders>
              <w:top w:val="single" w:sz="4" w:space="0" w:color="C4B5FD"/>
              <w:left w:val="single" w:sz="4" w:space="0" w:color="C4B5FD"/>
              <w:bottom w:val="single" w:sz="4" w:space="0" w:color="C4B5FD"/>
              <w:right w:val="single" w:sz="4" w:space="0" w:color="C4B5FD"/>
            </w:tcBorders>
            <w:shd w:val="clear" w:color="auto" w:fill="FFFFFF"/>
          </w:tcPr>
          <w:p>
            <w:pPr>
              <w:jc w:val="center"/>
            </w:pPr>
            <w:r>
              <w:rPr>
                <w:rFonts w:ascii="Calibri" w:hAnsi="Calibri"/>
                <w:b/>
                <w:color w:val="5B5BD6"/>
                <w:sz w:val="20"/>
              </w:rPr>
              <w:t>14</w:t>
            </w:r>
          </w:p>
        </w:tc>
        <w:tc>
          <w:tcPr>
            <w:tcW w:type="dxa" w:w="3288"/>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color w:val="111827"/>
                <w:sz w:val="18"/>
              </w:rPr>
              <w:t>Validate employee appears correctly in headcount reports on effective start date.</w:t>
            </w:r>
          </w:p>
        </w:tc>
        <w:tc>
          <w:tcPr>
            <w:tcW w:type="dxa" w:w="1814"/>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color w:val="111827"/>
                <w:sz w:val="18"/>
              </w:rPr>
              <w:t>HR Specialist / HRIS</w:t>
            </w:r>
          </w:p>
        </w:tc>
        <w:tc>
          <w:tcPr>
            <w:tcW w:type="dxa" w:w="2721"/>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color w:val="111827"/>
                <w:sz w:val="18"/>
              </w:rPr>
              <w:t>HCM Analytics → Headcount Report</w:t>
            </w:r>
          </w:p>
        </w:tc>
        <w:tc>
          <w:tcPr>
            <w:tcW w:type="dxa" w:w="2041"/>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color w:val="111827"/>
                <w:sz w:val="18"/>
              </w:rPr>
              <w:t>Hire reflected in live headcount.</w:t>
            </w:r>
          </w:p>
        </w:tc>
      </w:tr>
    </w:tbl>
    <w:p/>
    <w:p>
      <w:pPr>
        <w:pStyle w:val="Heading2"/>
      </w:pPr>
      <w:r>
        <w:t>7. Decision Points &amp; Exceptions</w:t>
      </w:r>
    </w:p>
    <w:p>
      <w:pPr>
        <w:pStyle w:val="Heading3"/>
      </w:pPr>
      <w:r>
        <w:t>7.1 Position Not Found</w:t>
      </w:r>
    </w:p>
    <w:p>
      <w:pPr>
        <w:spacing w:after="80"/>
      </w:pPr>
      <w:r>
        <w:rPr>
          <w:rFonts w:ascii="Calibri" w:hAnsi="Calibri"/>
          <w:color w:val="111827"/>
          <w:sz w:val="22"/>
        </w:rPr>
        <w:t>If no approved position exists, the HR Specialist must raise a Position Creation request (SOP-HCM-020) before proceeding. Do NOT hire against an incorrect position.</w:t>
      </w:r>
    </w:p>
    <w:p>
      <w:pPr>
        <w:shd w:val="clear" w:color="auto" w:fill="FEE2E2"/>
        <w:spacing w:before="80" w:after="160"/>
      </w:pPr>
      <w:r>
        <w:rPr>
          <w:rFonts w:ascii="Calibri" w:hAnsi="Calibri"/>
          <w:b/>
          <w:color w:val="991B1B"/>
          <w:sz w:val="20"/>
        </w:rPr>
        <w:t xml:space="preserve">⚠ Warning:  </w:t>
      </w:r>
      <w:r>
        <w:rPr>
          <w:rFonts w:ascii="Calibri" w:hAnsi="Calibri"/>
          <w:color w:val="111827"/>
          <w:sz w:val="20"/>
        </w:rPr>
        <w:t>Hiring against a wrong position creates downstream payroll, grade, and reporting errors that require a corrective assignment change.</w:t>
      </w:r>
    </w:p>
    <w:p>
      <w:pPr>
        <w:pStyle w:val="Heading3"/>
      </w:pPr>
      <w:r>
        <w:t>7.2 Approval Workflow Rejection</w:t>
      </w:r>
    </w:p>
    <w:p>
      <w:pPr>
        <w:spacing w:after="80"/>
      </w:pPr>
      <w:r>
        <w:rPr>
          <w:rFonts w:ascii="Calibri" w:hAnsi="Calibri"/>
          <w:color w:val="111827"/>
          <w:sz w:val="22"/>
        </w:rPr>
        <w:t>If the Hiring Manager rejects the hire transaction, HR Specialist will receive a rejection notification. Update the relevant fields and resubmit. Document the reason for rejection in the transaction notes.</w:t>
      </w:r>
    </w:p>
    <w:p>
      <w:pPr>
        <w:pStyle w:val="Heading3"/>
      </w:pPr>
      <w:r>
        <w:t>7.3 Missing National ID</w:t>
      </w:r>
    </w:p>
    <w:p>
      <w:pPr>
        <w:spacing w:after="80"/>
      </w:pPr>
      <w:r>
        <w:rPr>
          <w:rFonts w:ascii="Calibri" w:hAnsi="Calibri"/>
          <w:color w:val="111827"/>
          <w:sz w:val="22"/>
        </w:rPr>
        <w:t>If the new hire has not yet provided their Emirates ID or national ID, capture the passport number as an interim identifier. Update once ID is provided — deadline: within 30 days of start date.</w:t>
      </w:r>
    </w:p>
    <w:p>
      <w:pPr>
        <w:pStyle w:val="Heading3"/>
      </w:pPr>
      <w:r>
        <w:t>7.4 Retroactive Hire Date</w:t>
      </w:r>
    </w:p>
    <w:p>
      <w:pPr>
        <w:spacing w:after="80"/>
      </w:pPr>
      <w:r>
        <w:rPr>
          <w:rFonts w:ascii="Calibri" w:hAnsi="Calibri"/>
          <w:color w:val="111827"/>
          <w:sz w:val="22"/>
        </w:rPr>
        <w:t>Retroactive hire dates require HRIS Administrator approval and payroll team coordination for back-pay calculations. Raise a manual adjustment request.</w:t>
      </w:r>
    </w:p>
    <w:p>
      <w:pPr>
        <w:pStyle w:val="Heading2"/>
      </w:pPr>
      <w:r>
        <w:t>8. Oracle HCM System Notes</w:t>
      </w:r>
    </w:p>
    <w:p>
      <w:pPr>
        <w:pStyle w:val="ListBullet"/>
        <w:spacing w:after="60"/>
        <w:ind w:left="340"/>
      </w:pPr>
      <w:r>
        <w:rPr>
          <w:rFonts w:ascii="Calibri" w:hAnsi="Calibri"/>
          <w:sz w:val="22"/>
        </w:rPr>
        <w:t>The "Hire Employee" action is accessible via: Navigator → My Client Groups → Workforce Management → Add Person.</w:t>
      </w:r>
    </w:p>
    <w:p>
      <w:pPr>
        <w:pStyle w:val="ListBullet"/>
        <w:spacing w:after="60"/>
        <w:ind w:left="340"/>
      </w:pPr>
      <w:r>
        <w:rPr>
          <w:rFonts w:ascii="Calibri" w:hAnsi="Calibri"/>
          <w:sz w:val="22"/>
        </w:rPr>
        <w:t>Ensure the Legal Entity selected matches the physical work country (critical for payroll and WPS compliance).</w:t>
      </w:r>
    </w:p>
    <w:p>
      <w:pPr>
        <w:pStyle w:val="ListBullet"/>
        <w:spacing w:after="60"/>
        <w:ind w:left="340"/>
      </w:pPr>
      <w:r>
        <w:rPr>
          <w:rFonts w:ascii="Calibri" w:hAnsi="Calibri"/>
          <w:sz w:val="22"/>
        </w:rPr>
        <w:t>Position synchronisation is triggered automatically upon hire submission. If sync fails, HRIS Administrator must manually reconcile.</w:t>
      </w:r>
    </w:p>
    <w:p>
      <w:pPr>
        <w:pStyle w:val="ListBullet"/>
        <w:spacing w:after="60"/>
        <w:ind w:left="340"/>
      </w:pPr>
      <w:r>
        <w:rPr>
          <w:rFonts w:ascii="Calibri" w:hAnsi="Calibri"/>
          <w:sz w:val="22"/>
        </w:rPr>
        <w:t>Grade and step must be validated against the approved Compensation Band before submission.</w:t>
      </w:r>
    </w:p>
    <w:p>
      <w:pPr>
        <w:pStyle w:val="ListBullet"/>
        <w:spacing w:after="60"/>
        <w:ind w:left="340"/>
      </w:pPr>
      <w:r>
        <w:rPr>
          <w:rFonts w:ascii="Calibri" w:hAnsi="Calibri"/>
          <w:sz w:val="22"/>
        </w:rPr>
        <w:t>Do not use "Pending Worker" for confirmed hires — only use for candidates without a confirmed start date.</w:t>
      </w:r>
    </w:p>
    <w:p>
      <w:pPr>
        <w:shd w:val="clear" w:color="auto" w:fill="FEE2E2"/>
        <w:spacing w:before="80" w:after="160"/>
      </w:pPr>
      <w:r>
        <w:rPr>
          <w:rFonts w:ascii="Calibri" w:hAnsi="Calibri"/>
          <w:b/>
          <w:color w:val="991B1B"/>
          <w:sz w:val="20"/>
        </w:rPr>
        <w:t xml:space="preserve">⚠ Warning:  </w:t>
      </w:r>
      <w:r>
        <w:rPr>
          <w:rFonts w:ascii="Calibri" w:hAnsi="Calibri"/>
          <w:color w:val="111827"/>
          <w:sz w:val="20"/>
        </w:rPr>
        <w:t>Oracle HCM saves transactions in "draft" until submitted. Always click Submit — saving a draft does not activate the employee record.</w:t>
      </w:r>
    </w:p>
    <w:p>
      <w:pPr>
        <w:pStyle w:val="Heading2"/>
      </w:pPr>
      <w:r>
        <w:t>9. SLAs &amp; KPIs</w:t>
      </w:r>
    </w:p>
    <w:tbl>
      <w:tblPr>
        <w:tblStyle w:val="TableGrid"/>
        <w:tblW w:type="auto" w:w="0"/>
        <w:tblLook w:firstColumn="1" w:firstRow="1" w:lastColumn="0" w:lastRow="0" w:noHBand="0" w:noVBand="1" w:val="04A0"/>
      </w:tblPr>
      <w:tblGrid>
        <w:gridCol w:w="3009"/>
        <w:gridCol w:w="3009"/>
        <w:gridCol w:w="3009"/>
      </w:tblGrid>
      <w:tr>
        <w:tc>
          <w:tcPr>
            <w:tcW w:type="dxa" w:w="3402"/>
            <w:tcBorders>
              <w:top w:val="single" w:sz="4" w:space="0" w:color="C4B5FD"/>
              <w:left w:val="single" w:sz="4" w:space="0" w:color="C4B5FD"/>
              <w:bottom w:val="single" w:sz="4" w:space="0" w:color="C4B5FD"/>
              <w:right w:val="single" w:sz="4" w:space="0" w:color="C4B5FD"/>
            </w:tcBorders>
            <w:shd w:val="clear" w:color="auto" w:fill="7C3AED"/>
          </w:tcPr>
          <w:p>
            <w:r>
              <w:rPr>
                <w:rFonts w:ascii="Calibri" w:hAnsi="Calibri"/>
                <w:b/>
                <w:color w:val="FFFFFF"/>
                <w:sz w:val="18"/>
              </w:rPr>
              <w:t>KPI / Metric</w:t>
            </w:r>
          </w:p>
        </w:tc>
        <w:tc>
          <w:tcPr>
            <w:tcW w:type="dxa" w:w="2268"/>
            <w:tcBorders>
              <w:top w:val="single" w:sz="4" w:space="0" w:color="C4B5FD"/>
              <w:left w:val="single" w:sz="4" w:space="0" w:color="C4B5FD"/>
              <w:bottom w:val="single" w:sz="4" w:space="0" w:color="C4B5FD"/>
              <w:right w:val="single" w:sz="4" w:space="0" w:color="C4B5FD"/>
            </w:tcBorders>
            <w:shd w:val="clear" w:color="auto" w:fill="7C3AED"/>
          </w:tcPr>
          <w:p>
            <w:r>
              <w:rPr>
                <w:rFonts w:ascii="Calibri" w:hAnsi="Calibri"/>
                <w:b/>
                <w:color w:val="FFFFFF"/>
                <w:sz w:val="18"/>
              </w:rPr>
              <w:t>Target / Benchmark</w:t>
            </w:r>
          </w:p>
        </w:tc>
        <w:tc>
          <w:tcPr>
            <w:tcW w:type="dxa" w:w="4876"/>
            <w:tcBorders>
              <w:top w:val="single" w:sz="4" w:space="0" w:color="C4B5FD"/>
              <w:left w:val="single" w:sz="4" w:space="0" w:color="C4B5FD"/>
              <w:bottom w:val="single" w:sz="4" w:space="0" w:color="C4B5FD"/>
              <w:right w:val="single" w:sz="4" w:space="0" w:color="C4B5FD"/>
            </w:tcBorders>
            <w:shd w:val="clear" w:color="auto" w:fill="7C3AED"/>
          </w:tcPr>
          <w:p>
            <w:r>
              <w:rPr>
                <w:rFonts w:ascii="Calibri" w:hAnsi="Calibri"/>
                <w:b/>
                <w:color w:val="FFFFFF"/>
                <w:sz w:val="18"/>
              </w:rPr>
              <w:t>Measurement Source</w:t>
            </w:r>
          </w:p>
        </w:tc>
      </w:tr>
      <w:tr>
        <w:tc>
          <w:tcPr>
            <w:tcW w:type="dxa" w:w="3402"/>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b/>
                <w:color w:val="111827"/>
                <w:sz w:val="18"/>
              </w:rPr>
              <w:t>Hire transaction entry SLA</w:t>
            </w:r>
          </w:p>
        </w:tc>
        <w:tc>
          <w:tcPr>
            <w:tcW w:type="dxa" w:w="2268"/>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b w:val="0"/>
                <w:color w:val="111827"/>
                <w:sz w:val="18"/>
              </w:rPr>
              <w:t>≤ 2 business days from signed offer</w:t>
            </w:r>
          </w:p>
        </w:tc>
        <w:tc>
          <w:tcPr>
            <w:tcW w:type="dxa" w:w="4876"/>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b w:val="0"/>
                <w:color w:val="111827"/>
                <w:sz w:val="18"/>
              </w:rPr>
              <w:t>Oracle HCM transaction log</w:t>
            </w:r>
          </w:p>
        </w:tc>
      </w:tr>
      <w:tr>
        <w:tc>
          <w:tcPr>
            <w:tcW w:type="dxa" w:w="3402"/>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b/>
                <w:color w:val="111827"/>
                <w:sz w:val="18"/>
              </w:rPr>
              <w:t>Data accuracy rate</w:t>
            </w:r>
          </w:p>
        </w:tc>
        <w:tc>
          <w:tcPr>
            <w:tcW w:type="dxa" w:w="2268"/>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b w:val="0"/>
                <w:color w:val="111827"/>
                <w:sz w:val="18"/>
              </w:rPr>
              <w:t>≥ 99% (zero critical field errors)</w:t>
            </w:r>
          </w:p>
        </w:tc>
        <w:tc>
          <w:tcPr>
            <w:tcW w:type="dxa" w:w="4876"/>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b w:val="0"/>
                <w:color w:val="111827"/>
                <w:sz w:val="18"/>
              </w:rPr>
              <w:t>Monthly HRIS audit report</w:t>
            </w:r>
          </w:p>
        </w:tc>
      </w:tr>
      <w:tr>
        <w:tc>
          <w:tcPr>
            <w:tcW w:type="dxa" w:w="3402"/>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b/>
                <w:color w:val="111827"/>
                <w:sz w:val="18"/>
              </w:rPr>
              <w:t>Approval turnaround time</w:t>
            </w:r>
          </w:p>
        </w:tc>
        <w:tc>
          <w:tcPr>
            <w:tcW w:type="dxa" w:w="2268"/>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b w:val="0"/>
                <w:color w:val="111827"/>
                <w:sz w:val="18"/>
              </w:rPr>
              <w:t>≤ 1 business day</w:t>
            </w:r>
          </w:p>
        </w:tc>
        <w:tc>
          <w:tcPr>
            <w:tcW w:type="dxa" w:w="4876"/>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b w:val="0"/>
                <w:color w:val="111827"/>
                <w:sz w:val="18"/>
              </w:rPr>
              <w:t>Workflow notification timestamps</w:t>
            </w:r>
          </w:p>
        </w:tc>
      </w:tr>
      <w:tr>
        <w:tc>
          <w:tcPr>
            <w:tcW w:type="dxa" w:w="3402"/>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b/>
                <w:color w:val="111827"/>
                <w:sz w:val="18"/>
              </w:rPr>
              <w:t>Onboarding journey launch timeliness</w:t>
            </w:r>
          </w:p>
        </w:tc>
        <w:tc>
          <w:tcPr>
            <w:tcW w:type="dxa" w:w="2268"/>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b w:val="0"/>
                <w:color w:val="111827"/>
                <w:sz w:val="18"/>
              </w:rPr>
              <w:t>100% before Day 1</w:t>
            </w:r>
          </w:p>
        </w:tc>
        <w:tc>
          <w:tcPr>
            <w:tcW w:type="dxa" w:w="4876"/>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b w:val="0"/>
                <w:color w:val="111827"/>
                <w:sz w:val="18"/>
              </w:rPr>
              <w:t>Journey completion dashboard</w:t>
            </w:r>
          </w:p>
        </w:tc>
      </w:tr>
      <w:tr>
        <w:tc>
          <w:tcPr>
            <w:tcW w:type="dxa" w:w="3402"/>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b/>
                <w:color w:val="111827"/>
                <w:sz w:val="18"/>
              </w:rPr>
              <w:t>IT access provisioned before Day 1</w:t>
            </w:r>
          </w:p>
        </w:tc>
        <w:tc>
          <w:tcPr>
            <w:tcW w:type="dxa" w:w="2268"/>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b w:val="0"/>
                <w:color w:val="111827"/>
                <w:sz w:val="18"/>
              </w:rPr>
              <w:t>≥ 95% compliance</w:t>
            </w:r>
          </w:p>
        </w:tc>
        <w:tc>
          <w:tcPr>
            <w:tcW w:type="dxa" w:w="4876"/>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b w:val="0"/>
                <w:color w:val="111827"/>
                <w:sz w:val="18"/>
              </w:rPr>
              <w:t>IT access log</w:t>
            </w:r>
          </w:p>
        </w:tc>
      </w:tr>
    </w:tbl>
    <w:p/>
    <w:p>
      <w:pPr>
        <w:pStyle w:val="Heading2"/>
      </w:pPr>
      <w:r>
        <w:t>10. Related Documents &amp; References</w:t>
      </w:r>
    </w:p>
    <w:p>
      <w:pPr>
        <w:pStyle w:val="ListBullet"/>
        <w:spacing w:after="60"/>
        <w:ind w:left="340"/>
      </w:pPr>
      <w:r>
        <w:rPr>
          <w:rFonts w:ascii="Calibri" w:hAnsi="Calibri"/>
          <w:sz w:val="22"/>
        </w:rPr>
        <w:t>SOP-HCM-002: Promote Employee</w:t>
      </w:r>
    </w:p>
    <w:p>
      <w:pPr>
        <w:pStyle w:val="ListBullet"/>
        <w:spacing w:after="60"/>
        <w:ind w:left="340"/>
      </w:pPr>
      <w:r>
        <w:rPr>
          <w:rFonts w:ascii="Calibri" w:hAnsi="Calibri"/>
          <w:sz w:val="22"/>
        </w:rPr>
        <w:t>SOP-HCM-003: Transfer Employee</w:t>
      </w:r>
    </w:p>
    <w:p>
      <w:pPr>
        <w:pStyle w:val="ListBullet"/>
        <w:spacing w:after="60"/>
        <w:ind w:left="340"/>
      </w:pPr>
      <w:r>
        <w:rPr>
          <w:rFonts w:ascii="Calibri" w:hAnsi="Calibri"/>
          <w:sz w:val="22"/>
        </w:rPr>
        <w:t>SOP-HCM-005: Terminate Employment</w:t>
      </w:r>
    </w:p>
    <w:p>
      <w:pPr>
        <w:pStyle w:val="ListBullet"/>
        <w:spacing w:after="60"/>
        <w:ind w:left="340"/>
      </w:pPr>
      <w:r>
        <w:rPr>
          <w:rFonts w:ascii="Calibri" w:hAnsi="Calibri"/>
          <w:sz w:val="22"/>
        </w:rPr>
        <w:t>SOP-HCM-020: Create Position</w:t>
      </w:r>
    </w:p>
    <w:p>
      <w:pPr>
        <w:pStyle w:val="ListBullet"/>
        <w:spacing w:after="60"/>
        <w:ind w:left="340"/>
      </w:pPr>
      <w:r>
        <w:rPr>
          <w:rFonts w:ascii="Calibri" w:hAnsi="Calibri"/>
          <w:sz w:val="22"/>
        </w:rPr>
        <w:t>Oracle HCM User Guide: UG-HCM-EE-007 Employment Information</w:t>
      </w:r>
    </w:p>
    <w:p>
      <w:pPr>
        <w:pStyle w:val="ListBullet"/>
        <w:spacing w:after="60"/>
        <w:ind w:left="340"/>
      </w:pPr>
      <w:r>
        <w:rPr>
          <w:rFonts w:ascii="Calibri" w:hAnsi="Calibri"/>
          <w:sz w:val="22"/>
        </w:rPr>
        <w:t>Oracle HCM User Guide: Hire – HR Specialist</w:t>
      </w:r>
    </w:p>
    <w:p>
      <w:pPr>
        <w:pStyle w:val="ListBullet"/>
        <w:spacing w:after="60"/>
        <w:ind w:left="340"/>
      </w:pPr>
      <w:r>
        <w:rPr>
          <w:rFonts w:ascii="Calibri" w:hAnsi="Calibri"/>
          <w:sz w:val="22"/>
        </w:rPr>
        <w:t>Onboarding SOP and Journey Configuration Guide</w:t>
      </w:r>
    </w:p>
    <w:p>
      <w:pPr>
        <w:pStyle w:val="Heading2"/>
      </w:pPr>
      <w:r>
        <w:t>11. Version History</w:t>
      </w:r>
    </w:p>
    <w:tbl>
      <w:tblPr>
        <w:tblStyle w:val="TableGrid"/>
        <w:tblW w:type="auto" w:w="0"/>
        <w:tblLook w:firstColumn="1" w:firstRow="1" w:lastColumn="0" w:lastRow="0" w:noHBand="0" w:noVBand="1" w:val="04A0"/>
      </w:tblPr>
      <w:tblGrid>
        <w:gridCol w:w="2256"/>
        <w:gridCol w:w="2256"/>
        <w:gridCol w:w="2256"/>
        <w:gridCol w:w="2256"/>
      </w:tblGrid>
      <w:tr>
        <w:tc>
          <w:tcPr>
            <w:tcW w:type="dxa" w:w="2256"/>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b/>
                <w:color w:val="5B5BD6"/>
                <w:sz w:val="18"/>
              </w:rPr>
              <w:t>Version</w:t>
            </w:r>
          </w:p>
        </w:tc>
        <w:tc>
          <w:tcPr>
            <w:tcW w:type="dxa" w:w="2256"/>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b/>
                <w:color w:val="5B5BD6"/>
                <w:sz w:val="18"/>
              </w:rPr>
              <w:t>Date</w:t>
            </w:r>
          </w:p>
        </w:tc>
        <w:tc>
          <w:tcPr>
            <w:tcW w:type="dxa" w:w="2256"/>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b/>
                <w:color w:val="5B5BD6"/>
                <w:sz w:val="18"/>
              </w:rPr>
              <w:t>Author</w:t>
            </w:r>
          </w:p>
        </w:tc>
        <w:tc>
          <w:tcPr>
            <w:tcW w:type="dxa" w:w="2256"/>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b/>
                <w:color w:val="5B5BD6"/>
                <w:sz w:val="18"/>
              </w:rPr>
              <w:t>Description of Change</w:t>
            </w:r>
          </w:p>
        </w:tc>
      </w:tr>
      <w:tr>
        <w:tc>
          <w:tcPr>
            <w:tcW w:type="dxa" w:w="2256"/>
            <w:tcBorders>
              <w:top w:val="single" w:sz="4" w:space="0" w:color="C4B5FD"/>
              <w:left w:val="single" w:sz="4" w:space="0" w:color="C4B5FD"/>
              <w:bottom w:val="single" w:sz="4" w:space="0" w:color="C4B5FD"/>
              <w:right w:val="single" w:sz="4" w:space="0" w:color="C4B5FD"/>
            </w:tcBorders>
          </w:tcPr>
          <w:p>
            <w:r>
              <w:rPr>
                <w:rFonts w:ascii="Calibri" w:hAnsi="Calibri"/>
                <w:sz w:val="18"/>
              </w:rPr>
              <w:t>1.0</w:t>
            </w:r>
          </w:p>
        </w:tc>
        <w:tc>
          <w:tcPr>
            <w:tcW w:type="dxa" w:w="2256"/>
            <w:tcBorders>
              <w:top w:val="single" w:sz="4" w:space="0" w:color="C4B5FD"/>
              <w:left w:val="single" w:sz="4" w:space="0" w:color="C4B5FD"/>
              <w:bottom w:val="single" w:sz="4" w:space="0" w:color="C4B5FD"/>
              <w:right w:val="single" w:sz="4" w:space="0" w:color="C4B5FD"/>
            </w:tcBorders>
          </w:tcPr>
          <w:p>
            <w:r>
              <w:rPr>
                <w:rFonts w:ascii="Calibri" w:hAnsi="Calibri"/>
                <w:sz w:val="18"/>
              </w:rPr>
              <w:t>April 2026</w:t>
            </w:r>
          </w:p>
        </w:tc>
        <w:tc>
          <w:tcPr>
            <w:tcW w:type="dxa" w:w="2256"/>
            <w:tcBorders>
              <w:top w:val="single" w:sz="4" w:space="0" w:color="C4B5FD"/>
              <w:left w:val="single" w:sz="4" w:space="0" w:color="C4B5FD"/>
              <w:bottom w:val="single" w:sz="4" w:space="0" w:color="C4B5FD"/>
              <w:right w:val="single" w:sz="4" w:space="0" w:color="C4B5FD"/>
            </w:tcBorders>
          </w:tcPr>
          <w:p>
            <w:r>
              <w:rPr>
                <w:rFonts w:ascii="Calibri" w:hAnsi="Calibri"/>
                <w:sz w:val="18"/>
              </w:rPr>
              <w:t>HR Operations</w:t>
            </w:r>
          </w:p>
        </w:tc>
        <w:tc>
          <w:tcPr>
            <w:tcW w:type="dxa" w:w="2256"/>
            <w:tcBorders>
              <w:top w:val="single" w:sz="4" w:space="0" w:color="C4B5FD"/>
              <w:left w:val="single" w:sz="4" w:space="0" w:color="C4B5FD"/>
              <w:bottom w:val="single" w:sz="4" w:space="0" w:color="C4B5FD"/>
              <w:right w:val="single" w:sz="4" w:space="0" w:color="C4B5FD"/>
            </w:tcBorders>
          </w:tcPr>
          <w:p>
            <w:r>
              <w:rPr>
                <w:rFonts w:ascii="Calibri" w:hAnsi="Calibri"/>
                <w:sz w:val="18"/>
              </w:rPr>
              <w:t>Initial release</w:t>
            </w:r>
          </w:p>
        </w:tc>
      </w:tr>
    </w:tbl>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1182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20"/>
      <w:outlineLvl w:val="0"/>
    </w:pPr>
    <w:rPr>
      <w:rFonts w:asciiTheme="majorHAnsi" w:eastAsiaTheme="majorEastAsia" w:hAnsiTheme="majorHAnsi" w:cstheme="majorBidi" w:ascii="Calibri" w:hAnsi="Calibri"/>
      <w:b/>
      <w:bCs/>
      <w:color w:val="2D2B55"/>
      <w:sz w:val="32"/>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ascii="Calibri" w:hAnsi="Calibri"/>
      <w:b/>
      <w:bCs/>
      <w:color w:val="5B5BD6"/>
      <w:sz w:val="26"/>
      <w:szCs w:val="26"/>
    </w:rPr>
  </w:style>
  <w:style w:type="paragraph" w:styleId="Heading3">
    <w:name w:val="heading 3"/>
    <w:basedOn w:val="Normal"/>
    <w:next w:val="Normal"/>
    <w:link w:val="Heading3Char"/>
    <w:uiPriority w:val="9"/>
    <w:unhideWhenUsed/>
    <w:qFormat/>
    <w:rsid w:val="00FC693F"/>
    <w:pPr>
      <w:keepNext/>
      <w:keepLines/>
      <w:spacing w:before="160" w:after="40"/>
      <w:outlineLvl w:val="2"/>
    </w:pPr>
    <w:rPr>
      <w:rFonts w:asciiTheme="majorHAnsi" w:eastAsiaTheme="majorEastAsia" w:hAnsiTheme="majorHAnsi" w:cstheme="majorBidi" w:ascii="Calibri" w:hAnsi="Calibri"/>
      <w:b/>
      <w:bCs/>
      <w:color w:val="7C3AED"/>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customXml" Target="../customXml/item4.xml"/><Relationship Id="rId5" Type="http://schemas.openxmlformats.org/officeDocument/2006/relationships/settings" Target="settings.xml"/><Relationship Id="rId10" Type="http://schemas.openxmlformats.org/officeDocument/2006/relationships/customXml" Target="../customXml/item3.xml"/><Relationship Id="rId4" Type="http://schemas.microsoft.com/office/2007/relationships/stylesWithEffects" Target="stylesWithEffects.xml"/><Relationship Id="rId9"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88643EB38CAB3C48B7CFC62BA1EEFCE0" ma:contentTypeVersion="7" ma:contentTypeDescription="Create a new document." ma:contentTypeScope="" ma:versionID="abc323d0683bc83ae6869a758ecb891c">
  <xsd:schema xmlns:xsd="http://www.w3.org/2001/XMLSchema" xmlns:xs="http://www.w3.org/2001/XMLSchema" xmlns:p="http://schemas.microsoft.com/office/2006/metadata/properties" xmlns:ns2="e32645b4-328d-4a37-aecf-3a7fa3b35859" targetNamespace="http://schemas.microsoft.com/office/2006/metadata/properties" ma:root="true" ma:fieldsID="98541f00271e346a25aa7337283c2f1c" ns2:_="">
    <xsd:import namespace="e32645b4-328d-4a37-aecf-3a7fa3b3585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32645b4-328d-4a37-aecf-3a7fa3b3585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8F8A82F3-D7CB-4BF6-B670-9BE1E6784850}"/>
</file>

<file path=customXml/itemProps3.xml><?xml version="1.0" encoding="utf-8"?>
<ds:datastoreItem xmlns:ds="http://schemas.openxmlformats.org/officeDocument/2006/customXml" ds:itemID="{8252119B-9A4B-469A-9935-889C851BD374}"/>
</file>

<file path=customXml/itemProps4.xml><?xml version="1.0" encoding="utf-8"?>
<ds:datastoreItem xmlns:ds="http://schemas.openxmlformats.org/officeDocument/2006/customXml" ds:itemID="{8C779017-6F4D-4F3E-AEDB-72B46D06B8AD}"/>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0x01010088643EB38CAB3C48B7CFC62BA1EEFCE0</vt:lpwstr>
  </property>
</Properties>
</file>