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SOP-HCM-004</w:t>
      </w:r>
    </w:p>
    <w:p>
      <w:pPr>
        <w:jc w:val="center"/>
      </w:pPr>
      <w:r>
        <w:rPr>
          <w:rFonts w:ascii="Calibri" w:hAnsi="Calibri"/>
          <w:b/>
          <w:color w:val="2D2B55"/>
          <w:sz w:val="52"/>
        </w:rPr>
        <w:t>Local &amp; Global Transfer</w:t>
      </w:r>
    </w:p>
    <w:p>
      <w:pPr>
        <w:jc w:val="center"/>
      </w:pPr>
      <w:r>
        <w:rPr>
          <w:rFonts w:ascii="Calibri" w:hAnsi="Calibri"/>
          <w:color w:val="6B7280"/>
          <w:sz w:val="26"/>
        </w:rPr>
        <w:t>Cross-Entity / International Transfer | Oracle HCM Fusion</w:t>
      </w:r>
    </w:p>
    <w:p/>
    <w:p/>
    <w:p/>
    <w:tbl>
      <w:tblPr>
        <w:tblStyle w:val="TableGrid"/>
        <w:tblW w:type="auto" w:w="0"/>
        <w:jc w:val="center"/>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SOP-HCM-004</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Local &amp; Global Transfer – Cross-Entity Transfer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HR Operations – Global Mobility</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SOP-HCM-004</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 Manager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CHRO / 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color w:val="111827"/>
          <w:sz w:val="22"/>
        </w:rPr>
        <w:t>This SOP defines the process for managing local (cross-entity within the same country) and global (cross-country) employee transfers in Oracle HCM Fusion. These transfers involve changes to the employee's legal entity, work country, payroll, and potentially tax and visa status, requiring careful coordination across HR, Payroll, Legal, and Finance.</w:t>
      </w:r>
    </w:p>
    <w:p>
      <w:pPr>
        <w:pStyle w:val="Heading2"/>
      </w:pPr>
      <w:r>
        <w:t>3. Scope</w:t>
      </w:r>
    </w:p>
    <w:p>
      <w:pPr>
        <w:pStyle w:val="ListBullet"/>
        <w:spacing w:after="60"/>
        <w:ind w:left="340"/>
      </w:pPr>
      <w:r>
        <w:rPr>
          <w:rFonts w:ascii="Calibri" w:hAnsi="Calibri"/>
          <w:sz w:val="22"/>
        </w:rPr>
        <w:t>Local transfers: Employee moves between legal entities within the same country (e.g., subsidiary to parent company).</w:t>
      </w:r>
    </w:p>
    <w:p>
      <w:pPr>
        <w:pStyle w:val="ListBullet"/>
        <w:spacing w:after="60"/>
        <w:ind w:left="340"/>
      </w:pPr>
      <w:r>
        <w:rPr>
          <w:rFonts w:ascii="Calibri" w:hAnsi="Calibri"/>
          <w:sz w:val="22"/>
        </w:rPr>
        <w:t>Global transfers: Employee moves from one country/legal entity to another (international assignments or permanent relocations).</w:t>
      </w:r>
    </w:p>
    <w:p>
      <w:pPr>
        <w:pStyle w:val="ListBullet"/>
        <w:spacing w:after="60"/>
        <w:ind w:left="340"/>
      </w:pPr>
      <w:r>
        <w:rPr>
          <w:rFonts w:ascii="Calibri" w:hAnsi="Calibri"/>
          <w:sz w:val="22"/>
        </w:rPr>
        <w:t>Both permanent and secondment-based transfers.</w:t>
      </w:r>
    </w:p>
    <w:p>
      <w:pPr>
        <w:shd w:val="clear" w:color="auto" w:fill="FEE2E2"/>
        <w:spacing w:before="80" w:after="160"/>
      </w:pPr>
      <w:r>
        <w:rPr>
          <w:rFonts w:ascii="Calibri" w:hAnsi="Calibri"/>
          <w:b/>
          <w:color w:val="991B1B"/>
          <w:sz w:val="20"/>
        </w:rPr>
        <w:t xml:space="preserve">⚠ Warning:  </w:t>
      </w:r>
      <w:r>
        <w:rPr>
          <w:rFonts w:ascii="Calibri" w:hAnsi="Calibri"/>
          <w:color w:val="111827"/>
          <w:sz w:val="20"/>
        </w:rPr>
        <w:t>Global transfers require coordination with Legal, Immigration, and Tax teams before initiating the Oracle HCM transaction. Visa and work permit readiness must be confirmed.</w:t>
      </w:r>
    </w:p>
    <w:p>
      <w:pPr>
        <w:pStyle w:val="Heading2"/>
      </w:pPr>
      <w:r>
        <w:t>4. Pre-Conditions &amp; Prerequisites</w:t>
      </w:r>
    </w:p>
    <w:p>
      <w:pPr>
        <w:pStyle w:val="ListBullet"/>
        <w:spacing w:after="60"/>
        <w:ind w:left="340"/>
      </w:pPr>
      <w:r>
        <w:rPr>
          <w:rFonts w:ascii="Calibri" w:hAnsi="Calibri"/>
          <w:sz w:val="22"/>
        </w:rPr>
        <w:t>Transfer has received business approval at executive level (for global: CHRO sign-off required).</w:t>
      </w:r>
    </w:p>
    <w:p>
      <w:pPr>
        <w:pStyle w:val="ListBullet"/>
        <w:spacing w:after="60"/>
        <w:ind w:left="340"/>
      </w:pPr>
      <w:r>
        <w:rPr>
          <w:rFonts w:ascii="Calibri" w:hAnsi="Calibri"/>
          <w:sz w:val="22"/>
        </w:rPr>
        <w:t>For global transfers: Work visa / permit approved and immigration clearance confirmed.</w:t>
      </w:r>
    </w:p>
    <w:p>
      <w:pPr>
        <w:pStyle w:val="ListBullet"/>
        <w:spacing w:after="60"/>
        <w:ind w:left="340"/>
      </w:pPr>
      <w:r>
        <w:rPr>
          <w:rFonts w:ascii="Calibri" w:hAnsi="Calibri"/>
          <w:sz w:val="22"/>
        </w:rPr>
        <w:t>New legal entity position exists in Oracle HCM.</w:t>
      </w:r>
    </w:p>
    <w:p>
      <w:pPr>
        <w:pStyle w:val="ListBullet"/>
        <w:spacing w:after="60"/>
        <w:ind w:left="340"/>
      </w:pPr>
      <w:r>
        <w:rPr>
          <w:rFonts w:ascii="Calibri" w:hAnsi="Calibri"/>
          <w:sz w:val="22"/>
        </w:rPr>
        <w:t>Compensation package for the destination entity is confirmed by Compensation team.</w:t>
      </w:r>
    </w:p>
    <w:p>
      <w:pPr>
        <w:pStyle w:val="ListBullet"/>
        <w:spacing w:after="60"/>
        <w:ind w:left="340"/>
      </w:pPr>
      <w:r>
        <w:rPr>
          <w:rFonts w:ascii="Calibri" w:hAnsi="Calibri"/>
          <w:sz w:val="22"/>
        </w:rPr>
        <w:t>Tax equalisation / shadow payroll approach confirmed by Finance/Tax team (for global).</w:t>
      </w:r>
    </w:p>
    <w:p>
      <w:pPr>
        <w:pStyle w:val="ListBullet"/>
        <w:spacing w:after="60"/>
        <w:ind w:left="340"/>
      </w:pPr>
      <w:r>
        <w:rPr>
          <w:rFonts w:ascii="Calibri" w:hAnsi="Calibri"/>
          <w:sz w:val="22"/>
        </w:rPr>
        <w:t>Employee has signed the transfer agreement or secondment letter.</w:t>
      </w:r>
    </w:p>
    <w:p>
      <w:pPr>
        <w:pStyle w:val="Heading2"/>
      </w:pPr>
      <w:r>
        <w:t>5. Roles &amp; Responsibilities</w:t>
      </w:r>
    </w:p>
    <w:tbl>
      <w:tblPr>
        <w:tblStyle w:val="TableGrid"/>
        <w:tblW w:type="auto" w:w="0"/>
        <w:jc w:val="left"/>
        <w:tblLook w:firstColumn="1" w:firstRow="1" w:lastColumn="0" w:lastRow="0" w:noHBand="0" w:noVBand="1" w:val="04A0"/>
      </w:tblPr>
      <w:tblGrid>
        <w:gridCol w:w="3009"/>
        <w:gridCol w:w="3009"/>
        <w:gridCol w:w="3009"/>
      </w:tblGrid>
      <w:tr>
        <w:tc>
          <w:tcPr>
            <w:tcW w:type="dxa" w:w="2268"/>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 / Persona</w:t>
            </w:r>
          </w:p>
        </w:tc>
        <w:tc>
          <w:tcPr>
            <w:tcW w:type="dxa" w:w="2268"/>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 Level</w:t>
            </w:r>
          </w:p>
        </w:tc>
        <w:tc>
          <w:tcPr>
            <w:tcW w:type="dxa" w:w="6009"/>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HR Specialist (Origin)</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Full Edit – Core HR</w:t>
            </w:r>
          </w:p>
        </w:tc>
        <w:tc>
          <w:tcPr>
            <w:tcW w:type="dxa" w:w="6009"/>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Initiate local/global transfer action. Coordinate with destination HR.</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HR Specialist (Destination)</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Full Edit</w:t>
            </w:r>
          </w:p>
        </w:tc>
        <w:tc>
          <w:tcPr>
            <w:tcW w:type="dxa" w:w="6009"/>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Validate receiving position, confirm assignment details, manage local onboarding.</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Global Mobility Team</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Coordinator</w:t>
            </w:r>
          </w:p>
        </w:tc>
        <w:tc>
          <w:tcPr>
            <w:tcW w:type="dxa" w:w="6009"/>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Manage visa, relocation, tax equalisation, and assignment letter for global transfers.</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Payroll – Origin</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Payroll</w:t>
            </w:r>
          </w:p>
        </w:tc>
        <w:tc>
          <w:tcPr>
            <w:tcW w:type="dxa" w:w="6009"/>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Process final payroll in origin entity. Confirm end-of-service / EOSB if applicable.</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Payroll – Destination</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Payroll</w:t>
            </w:r>
          </w:p>
        </w:tc>
        <w:tc>
          <w:tcPr>
            <w:tcW w:type="dxa" w:w="6009"/>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Set up payroll in destination entity, confirm first-pay details.</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Finance / Tax</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Advisory</w:t>
            </w:r>
          </w:p>
        </w:tc>
        <w:tc>
          <w:tcPr>
            <w:tcW w:type="dxa" w:w="6009"/>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Confirm tax treatment, shadow payroll, and cost allocation.</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HRIS Administrator</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System Admin</w:t>
            </w:r>
          </w:p>
        </w:tc>
        <w:tc>
          <w:tcPr>
            <w:tcW w:type="dxa" w:w="6009"/>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Manage cross-entity sync, resolve legal entity mapping issues.</w:t>
            </w:r>
          </w:p>
        </w:tc>
      </w:tr>
    </w:tbl>
    <w:p/>
    <w:p>
      <w:pPr>
        <w:pStyle w:val="Heading2"/>
      </w:pPr>
      <w:r>
        <w:t>6. Process Steps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80"/>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288"/>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81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 Role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04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Receive fully approved transfer package: employee details, origin entity, destination entity, effective transfer date, new position, new grade, new compensation.</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Email / Global Mobility system</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Transfer package confirmed.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Confirm legal and immigration readiness (for global): visa approved, relocation logistics confirmed, tax structure agreed.</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Global Mobility / HR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Immigration &amp; Legal sign-off</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All pre-requisites cleared.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Navigate to employee record. Select Action → Local and Global Transfer.</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Navigator → Person Management → Actions → Local and Global Transfer</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Transfer transaction opened.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Set transfer type: Local Transfer or Global Transfer. Enter effective date.</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Transfer Type selection → Effective Date</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Transfer type and date set.</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Select destination Legal Entity, Business Unit, Department, Location, and Position.</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Assignment tab → Legal Entity / Position fields</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Destination assignment details entered.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Update grade and compensation to match destination entity's package (if different).</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Compensation tab → Salary / Grade</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Compensation updated.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For global transfers: Update Tax Reporting Unit and Work Tax Address to destination country.</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 / Payroll</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Payroll tab → Tax fields</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Tax reporting unit updated.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Update personal details if required: new contact address, emergency contact in new country.</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Personal Details tab</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Contact info updated.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9</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Attach transfer agreement / secondment letter to Document Records.</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Document Records → Add Document</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Transfer letter on file.</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10</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Submit transfer transaction. Workflow triggers multi-level approval.</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Submit → Confirm</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Approval chain initiated.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11</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Origin and destination approvers review and approve in Worklist.</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Managers / HRBP</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Bell → Worklist → Approve</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Transfer approved.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12</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Origin Payroll: process final payroll, EOSB calculation (if applicable). Destination Payroll: set up new payroll assignment.</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Payroll Teams</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Payroll → Element Entries</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Payroll transitioned.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13</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Confirm employee record reflects new legal entity in all reports: headcount, org chart, payroll.</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HRIS / 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HCM Analytics → Legal Entity Headcount</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Transfer visible in all reporting.</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14</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Trigger destination onboarding journey. Assign IT access for destination location.</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Journeys → Assign Transfer Onboarding</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Relocation onboarding launched.</w:t>
            </w:r>
          </w:p>
        </w:tc>
      </w:tr>
    </w:tbl>
    <w:p/>
    <w:p>
      <w:pPr>
        <w:pStyle w:val="Heading2"/>
      </w:pPr>
      <w:r>
        <w:t>7. Decision Points &amp; Exceptions</w:t>
      </w:r>
    </w:p>
    <w:p>
      <w:pPr>
        <w:pStyle w:val="Heading3"/>
      </w:pPr>
      <w:r>
        <w:t>7.1 EOSB / Gratuity Implications (for Global/Local Legal Entity Change)</w:t>
      </w:r>
    </w:p>
    <w:p>
      <w:pPr>
        <w:spacing w:after="80"/>
      </w:pPr>
      <w:r>
        <w:rPr>
          <w:rFonts w:ascii="Calibri" w:hAnsi="Calibri"/>
          <w:color w:val="111827"/>
          <w:sz w:val="22"/>
        </w:rPr>
        <w:t>A transfer to a new legal entity may trigger an EOSB / gratuity settlement if the employment relationship with the origin entity is legally terminated. Consult Legal and Payroll before processing. In some jurisdictions, continuity of service can be preserved — confirm with the Legal team.</w:t>
      </w:r>
    </w:p>
    <w:p>
      <w:pPr>
        <w:shd w:val="clear" w:color="auto" w:fill="FEE2E2"/>
        <w:spacing w:before="80" w:after="160"/>
      </w:pPr>
      <w:r>
        <w:rPr>
          <w:rFonts w:ascii="Calibri" w:hAnsi="Calibri"/>
          <w:b/>
          <w:color w:val="991B1B"/>
          <w:sz w:val="20"/>
        </w:rPr>
        <w:t xml:space="preserve">⚠ Warning:  </w:t>
      </w:r>
      <w:r>
        <w:rPr>
          <w:rFonts w:ascii="Calibri" w:hAnsi="Calibri"/>
          <w:color w:val="111827"/>
          <w:sz w:val="20"/>
        </w:rPr>
        <w:t>Incorrectly processing a legal entity change without addressing EOSB can create significant financial and legal liability. Always consult Legal before proceeding.</w:t>
      </w:r>
    </w:p>
    <w:p>
      <w:pPr>
        <w:pStyle w:val="Heading3"/>
      </w:pPr>
      <w:r>
        <w:t>7.2 System Limitation: Global Transfer Creates New Work Relationship</w:t>
      </w:r>
    </w:p>
    <w:p>
      <w:pPr>
        <w:spacing w:after="80"/>
      </w:pPr>
      <w:r>
        <w:rPr>
          <w:rFonts w:ascii="Calibri" w:hAnsi="Calibri"/>
          <w:color w:val="111827"/>
          <w:sz w:val="22"/>
        </w:rPr>
        <w:t>In Oracle HCM, a global transfer to a new legal entity may create a new Work Relationship record. HR Specialist must confirm with HRIS Administrator whether service continuity parameters are configured to preserve tenure.</w:t>
      </w:r>
    </w:p>
    <w:p>
      <w:pPr>
        <w:pStyle w:val="Heading2"/>
      </w:pPr>
      <w:r>
        <w:t>8. Oracle HCM System Notes</w:t>
      </w:r>
    </w:p>
    <w:p>
      <w:pPr>
        <w:pStyle w:val="ListBullet"/>
        <w:spacing w:after="60"/>
        <w:ind w:left="340"/>
      </w:pPr>
      <w:r>
        <w:rPr>
          <w:rFonts w:ascii="Calibri" w:hAnsi="Calibri"/>
          <w:sz w:val="22"/>
        </w:rPr>
        <w:t>Access: Navigator → My Client Groups → Person Management → Actions → Local and Global Transfer.</w:t>
      </w:r>
    </w:p>
    <w:p>
      <w:pPr>
        <w:pStyle w:val="ListBullet"/>
        <w:spacing w:after="60"/>
        <w:ind w:left="340"/>
      </w:pPr>
      <w:r>
        <w:rPr>
          <w:rFonts w:ascii="Calibri" w:hAnsi="Calibri"/>
          <w:sz w:val="22"/>
        </w:rPr>
        <w:t>Oracle HCM supports "Global Transfer" which creates a new employment record in the destination legal entity while retaining history in the origin entity.</w:t>
      </w:r>
    </w:p>
    <w:p>
      <w:pPr>
        <w:pStyle w:val="ListBullet"/>
        <w:spacing w:after="60"/>
        <w:ind w:left="340"/>
      </w:pPr>
      <w:r>
        <w:rPr>
          <w:rFonts w:ascii="Calibri" w:hAnsi="Calibri"/>
          <w:sz w:val="22"/>
        </w:rPr>
        <w:t>Position headcount in both origin and destination entities must be reviewed after the transfer.</w:t>
      </w:r>
    </w:p>
    <w:p>
      <w:pPr>
        <w:pStyle w:val="ListBullet"/>
        <w:spacing w:after="60"/>
        <w:ind w:left="340"/>
      </w:pPr>
      <w:r>
        <w:rPr>
          <w:rFonts w:ascii="Calibri" w:hAnsi="Calibri"/>
          <w:sz w:val="22"/>
        </w:rPr>
        <w:t>Cross-entity payroll is NOT automatic — destination payroll team must manually set up element entries.</w:t>
      </w:r>
    </w:p>
    <w:p>
      <w:pPr>
        <w:pStyle w:val="Heading2"/>
      </w:pPr>
      <w:r>
        <w:t>9. SLAs &amp; KPIs</w:t>
      </w:r>
    </w:p>
    <w:tbl>
      <w:tblPr>
        <w:tblStyle w:val="TableGrid"/>
        <w:tblW w:type="auto" w:w="0"/>
        <w:tblLook w:firstColumn="1" w:firstRow="1" w:lastColumn="0" w:lastRow="0" w:noHBand="0" w:noVBand="1" w:val="04A0"/>
      </w:tblPr>
      <w:tblGrid>
        <w:gridCol w:w="3009"/>
        <w:gridCol w:w="3009"/>
        <w:gridCol w:w="3009"/>
      </w:tblGrid>
      <w:tr>
        <w:tc>
          <w:tcPr>
            <w:tcW w:type="dxa" w:w="340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 / Benchmark</w:t>
            </w:r>
          </w:p>
        </w:tc>
        <w:tc>
          <w:tcPr>
            <w:tcW w:type="dxa" w:w="4876"/>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40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Transfer initiation (from approval)</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 5 business days</w:t>
            </w:r>
          </w:p>
        </w:tc>
        <w:tc>
          <w:tcPr>
            <w:tcW w:type="dxa" w:w="487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Oracle HCM transaction log</w:t>
            </w:r>
          </w:p>
        </w:tc>
      </w:tr>
      <w:tr>
        <w:tc>
          <w:tcPr>
            <w:tcW w:type="dxa" w:w="340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Payroll set-up in destination entity</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 5 business days before first pay</w:t>
            </w:r>
          </w:p>
        </w:tc>
        <w:tc>
          <w:tcPr>
            <w:tcW w:type="dxa" w:w="487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Payroll readiness checklist</w:t>
            </w:r>
          </w:p>
        </w:tc>
      </w:tr>
      <w:tr>
        <w:tc>
          <w:tcPr>
            <w:tcW w:type="dxa" w:w="340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Immigration / visa clearance SLA</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 30 days before start date (global)</w:t>
            </w:r>
          </w:p>
        </w:tc>
        <w:tc>
          <w:tcPr>
            <w:tcW w:type="dxa" w:w="487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Global Mobility tracker</w:t>
            </w:r>
          </w:p>
        </w:tc>
      </w:tr>
      <w:tr>
        <w:tc>
          <w:tcPr>
            <w:tcW w:type="dxa" w:w="340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Data accuracy – cross-entity</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100% legal entity, position, grade</w:t>
            </w:r>
          </w:p>
        </w:tc>
        <w:tc>
          <w:tcPr>
            <w:tcW w:type="dxa" w:w="487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HRIS audit</w:t>
            </w:r>
          </w:p>
        </w:tc>
      </w:tr>
    </w:tbl>
    <w:p/>
    <w:p>
      <w:pPr>
        <w:pStyle w:val="Heading2"/>
      </w:pPr>
      <w:r>
        <w:t>10. Related Documents</w:t>
      </w:r>
    </w:p>
    <w:p>
      <w:pPr>
        <w:pStyle w:val="ListBullet"/>
        <w:spacing w:after="60"/>
        <w:ind w:left="340"/>
      </w:pPr>
      <w:r>
        <w:rPr>
          <w:rFonts w:ascii="Calibri" w:hAnsi="Calibri"/>
          <w:sz w:val="22"/>
        </w:rPr>
        <w:t>SOP-HCM-003: Transfer Employee</w:t>
      </w:r>
    </w:p>
    <w:p>
      <w:pPr>
        <w:pStyle w:val="ListBullet"/>
        <w:spacing w:after="60"/>
        <w:ind w:left="340"/>
      </w:pPr>
      <w:r>
        <w:rPr>
          <w:rFonts w:ascii="Calibri" w:hAnsi="Calibri"/>
          <w:sz w:val="22"/>
        </w:rPr>
        <w:t>SOP-HCM-005: Terminate Employment</w:t>
      </w:r>
    </w:p>
    <w:p>
      <w:pPr>
        <w:pStyle w:val="ListBullet"/>
        <w:spacing w:after="60"/>
        <w:ind w:left="340"/>
      </w:pPr>
      <w:r>
        <w:rPr>
          <w:rFonts w:ascii="Calibri" w:hAnsi="Calibri"/>
          <w:sz w:val="22"/>
        </w:rPr>
        <w:t>EOSB / Gratuity Calculation Policy</w:t>
      </w:r>
    </w:p>
    <w:p>
      <w:pPr>
        <w:pStyle w:val="ListBullet"/>
        <w:spacing w:after="60"/>
        <w:ind w:left="340"/>
      </w:pPr>
      <w:r>
        <w:rPr>
          <w:rFonts w:ascii="Calibri" w:hAnsi="Calibri"/>
          <w:sz w:val="22"/>
        </w:rPr>
        <w:t>Global Mobility Policy</w:t>
      </w:r>
    </w:p>
    <w:p>
      <w:pPr>
        <w:pStyle w:val="ListBullet"/>
        <w:spacing w:after="60"/>
        <w:ind w:left="340"/>
      </w:pPr>
      <w:r>
        <w:rPr>
          <w:rFonts w:ascii="Calibri" w:hAnsi="Calibri"/>
          <w:sz w:val="22"/>
        </w:rPr>
        <w:t>Oracle HCM User Guide: Local and Global Transfer – HR Specialist</w:t>
      </w:r>
    </w:p>
    <w:p>
      <w:pPr>
        <w:pStyle w:val="Heading2"/>
      </w:pPr>
      <w:r>
        <w:t>11. 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 of Change</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B6DE0B4-E032-43C9-90A8-C9B1A8EC2EA7}"/>
</file>

<file path=customXml/itemProps3.xml><?xml version="1.0" encoding="utf-8"?>
<ds:datastoreItem xmlns:ds="http://schemas.openxmlformats.org/officeDocument/2006/customXml" ds:itemID="{6BFD480D-3C66-4EDC-8103-B14198101864}"/>
</file>

<file path=customXml/itemProps4.xml><?xml version="1.0" encoding="utf-8"?>
<ds:datastoreItem xmlns:ds="http://schemas.openxmlformats.org/officeDocument/2006/customXml" ds:itemID="{60D74A6F-01B4-498C-B227-30263A1CD02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