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webSettings.xml" ContentType="application/vnd.openxmlformats-officedocument.wordprocessingml.webSetting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numbering.xml" ContentType="application/vnd.openxmlformats-officedocument.wordprocessingml.numbering+xml"/>
  <Override PartName="/word/theme/theme1.xml" ContentType="application/vnd.openxmlformats-officedocument.theme+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SOP-HCM-005</w:t>
      </w:r>
    </w:p>
    <w:p>
      <w:pPr>
        <w:jc w:val="center"/>
      </w:pPr>
      <w:r>
        <w:rPr>
          <w:rFonts w:ascii="Calibri" w:hAnsi="Calibri"/>
          <w:b/>
          <w:color w:val="2D2B55"/>
          <w:sz w:val="52"/>
        </w:rPr>
        <w:t>Terminate Employment</w:t>
      </w:r>
    </w:p>
    <w:p>
      <w:pPr>
        <w:jc w:val="center"/>
      </w:pPr>
      <w:r>
        <w:rPr>
          <w:rFonts w:ascii="Calibri" w:hAnsi="Calibri"/>
          <w:color w:val="6B7280"/>
          <w:sz w:val="26"/>
        </w:rPr>
        <w:t>Termination &amp; Exit Process | Oracle HCM Fusion</w:t>
      </w:r>
    </w:p>
    <w:p/>
    <w:p/>
    <w:p/>
    <w:tbl>
      <w:tblPr>
        <w:tblStyle w:val="TableGrid"/>
        <w:tblW w:type="auto" w:w="0"/>
        <w:jc w:val="center"/>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SOP-HCM-005</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Terminate Employment – Exit Process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HR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color w:val="111827"/>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SOP-HCM-005</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HR Operations Manager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CHRO / HR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color w:val="111827"/>
          <w:sz w:val="22"/>
        </w:rPr>
        <w:t>This SOP defines the process for terminating an employee's employment in Oracle HCM Fusion, covering voluntary resignations, involuntary terminations, contract end dates, and retirements. It ensures that all exits are legally compliant, accurately recorded, and that all downstream obligations (final pay, EOSB, system access, asset recovery) are fulfilled.</w:t>
      </w:r>
    </w:p>
    <w:p>
      <w:pPr>
        <w:pStyle w:val="Heading2"/>
      </w:pPr>
      <w:r>
        <w:t>3. Scope</w:t>
      </w:r>
    </w:p>
    <w:p>
      <w:pPr>
        <w:pStyle w:val="ListBullet"/>
        <w:spacing w:after="60"/>
        <w:ind w:left="340"/>
      </w:pPr>
      <w:r>
        <w:rPr>
          <w:rFonts w:ascii="Calibri" w:hAnsi="Calibri"/>
          <w:sz w:val="22"/>
        </w:rPr>
        <w:t>All employment termination types: resignation, redundancy, dismissal, end of contract, retirement.</w:t>
      </w:r>
    </w:p>
    <w:p>
      <w:pPr>
        <w:pStyle w:val="ListBullet"/>
        <w:spacing w:after="60"/>
        <w:ind w:left="340"/>
      </w:pPr>
      <w:r>
        <w:rPr>
          <w:rFonts w:ascii="Calibri" w:hAnsi="Calibri"/>
          <w:sz w:val="22"/>
        </w:rPr>
        <w:t>HR Specialists and Line Managers involved in the exit process.</w:t>
      </w:r>
    </w:p>
    <w:p>
      <w:pPr>
        <w:pStyle w:val="ListBullet"/>
        <w:spacing w:after="60"/>
        <w:ind w:left="340"/>
      </w:pPr>
      <w:r>
        <w:rPr>
          <w:rFonts w:ascii="Calibri" w:hAnsi="Calibri"/>
          <w:sz w:val="22"/>
        </w:rPr>
        <w:t>All entities and locations served by Oracle HCM Fusion.</w:t>
      </w:r>
    </w:p>
    <w:p>
      <w:pPr>
        <w:shd w:val="clear" w:color="auto" w:fill="FEE2E2"/>
        <w:spacing w:before="80" w:after="160"/>
      </w:pPr>
      <w:r>
        <w:rPr>
          <w:rFonts w:ascii="Calibri" w:hAnsi="Calibri"/>
          <w:b/>
          <w:color w:val="991B1B"/>
          <w:sz w:val="20"/>
        </w:rPr>
        <w:t xml:space="preserve">⚠ Warning:  </w:t>
      </w:r>
      <w:r>
        <w:rPr>
          <w:rFonts w:ascii="Calibri" w:hAnsi="Calibri"/>
          <w:color w:val="111827"/>
          <w:sz w:val="20"/>
        </w:rPr>
        <w:t>Death in service cases require a separate sensitive handling procedure. Consult the HR Director before processing.</w:t>
      </w:r>
    </w:p>
    <w:p>
      <w:pPr>
        <w:pStyle w:val="Heading2"/>
      </w:pPr>
      <w:r>
        <w:t>4. Pre-Conditions &amp; Prerequisites</w:t>
      </w:r>
    </w:p>
    <w:p>
      <w:pPr>
        <w:pStyle w:val="ListBullet"/>
        <w:spacing w:after="60"/>
        <w:ind w:left="340"/>
      </w:pPr>
      <w:r>
        <w:rPr>
          <w:rFonts w:ascii="Calibri" w:hAnsi="Calibri"/>
          <w:sz w:val="22"/>
        </w:rPr>
        <w:t>For resignation: Signed resignation letter received and notice period confirmed.</w:t>
      </w:r>
    </w:p>
    <w:p>
      <w:pPr>
        <w:pStyle w:val="ListBullet"/>
        <w:spacing w:after="60"/>
        <w:ind w:left="340"/>
      </w:pPr>
      <w:r>
        <w:rPr>
          <w:rFonts w:ascii="Calibri" w:hAnsi="Calibri"/>
          <w:sz w:val="22"/>
        </w:rPr>
        <w:t>For involuntary termination: All disciplinary / legal requirements completed and sign-off from Legal and CHRO obtained.</w:t>
      </w:r>
    </w:p>
    <w:p>
      <w:pPr>
        <w:pStyle w:val="ListBullet"/>
        <w:spacing w:after="60"/>
        <w:ind w:left="340"/>
      </w:pPr>
      <w:r>
        <w:rPr>
          <w:rFonts w:ascii="Calibri" w:hAnsi="Calibri"/>
          <w:sz w:val="22"/>
        </w:rPr>
        <w:t>Last working day confirmed and agreed with employee and manager.</w:t>
      </w:r>
    </w:p>
    <w:p>
      <w:pPr>
        <w:pStyle w:val="ListBullet"/>
        <w:spacing w:after="60"/>
        <w:ind w:left="340"/>
      </w:pPr>
      <w:r>
        <w:rPr>
          <w:rFonts w:ascii="Calibri" w:hAnsi="Calibri"/>
          <w:sz w:val="22"/>
        </w:rPr>
        <w:t>Exit checklist initiated (asset return, system access revocation, clearance).</w:t>
      </w:r>
    </w:p>
    <w:p>
      <w:pPr>
        <w:pStyle w:val="Heading2"/>
      </w:pPr>
      <w:r>
        <w:t>5. Roles &amp; Responsibilities</w:t>
      </w:r>
    </w:p>
    <w:tbl>
      <w:tblPr>
        <w:tblStyle w:val="TableGrid"/>
        <w:tblW w:type="auto" w:w="0"/>
        <w:jc w:val="left"/>
        <w:tblLook w:firstColumn="1" w:firstRow="1" w:lastColumn="0" w:lastRow="0" w:noHBand="0" w:noVBand="1" w:val="04A0"/>
      </w:tblPr>
      <w:tblGrid>
        <w:gridCol w:w="3009"/>
        <w:gridCol w:w="3009"/>
        <w:gridCol w:w="3009"/>
      </w:tblGrid>
      <w:tr>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 / Persona</w:t>
            </w:r>
          </w:p>
        </w:tc>
        <w:tc>
          <w:tcPr>
            <w:tcW w:type="dxa" w:w="2268"/>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 Level</w:t>
            </w:r>
          </w:p>
        </w:tc>
        <w:tc>
          <w:tcPr>
            <w:tcW w:type="dxa" w:w="6009"/>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Line Manager</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Initiator</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Notify HR of resignation/termination intent. Initiate exit checklist. Complete exit clearance form.</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HR Specialist</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Full Edit – Core HR</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Process termination in Oracle HCM. Confirm termination type, date, EOSB. Issue termination letter.</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Legal / Compliance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Advisory</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Confirm legal compliance for involuntary termination. Sign off on termination reason.</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Payroll Team</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Payroll Processing</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Calculate final salary, leave encashment, EOSB/gratuity. Process final payslip.</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IT / Access Mgmt</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N/A</w:t>
            </w:r>
          </w:p>
        </w:tc>
        <w:tc>
          <w:tcPr>
            <w:tcW w:type="dxa" w:w="6009"/>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Revoke system access and retrieve company devices on last working day.</w:t>
            </w:r>
          </w:p>
        </w:tc>
      </w:tr>
      <w:tr>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Finance</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View</w:t>
            </w:r>
          </w:p>
        </w:tc>
        <w:tc>
          <w:tcPr>
            <w:tcW w:type="dxa" w:w="6009"/>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Confirm recovery of any outstanding advances or expenses.</w:t>
            </w:r>
          </w:p>
        </w:tc>
      </w:tr>
    </w:tbl>
    <w:p/>
    <w:p>
      <w:pPr>
        <w:pStyle w:val="Heading2"/>
      </w:pPr>
      <w:r>
        <w:t>6. Process Steps</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80"/>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288"/>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81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 Role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04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Receive resignation letter or termination approval. Confirm: employee name, ID, last working day, termination type (voluntary/involuntary), and reason code.</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Email / HR workflow</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Termination package confirmed.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Navigate to the employee record: My Client Groups → Person Management → Search employee.</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Navigator → Person Management</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Employee profile located.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Select Action → Terminate. Set the termination effective date (= last working day).</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Actions → Terminate → Effective Date</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Terminate transaction opened.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Select Termination Type: Resignation / Redundancy / End of Contract / Dismissal / Retirement. Select the appropriate Termination Reason from the approved reason code list.</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Terminate → Termination tab → Termination Type / Reason</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Termination type and reason recorded.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Confirm notification date (if different from effective date). This is the date the employee was formally notified.</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Terminate → Notification Date field</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Notification date captured.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Confirm Regret flag: Is this a regrettable termination? (Used for attrition analytics).</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Terminate → Regret Termination field</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Regret flag set.</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Review any open approvals or pending transactions for the employee. Cancel or complete before submitting termination.</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Employee record → Pending Transactions</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No blocking transactions.</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Submit the termination transaction. Workflow approval initiated.</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Submit → Confirm</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Approval workflow triggered.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Manager / HRBP approves termination in Oracle Worklist.</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Line Manager / HRBP</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Bell → Worklist → Approve Termination</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Termination approved.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Payroll: Calculate and process final pay including: basic salary pro-rata, leave balance encashment, EOSB/gratuity, any allowances, deductions/recoveries.</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Payroll Team</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Payroll → Terminate Employee → Final Pay</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Final pay processed.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11</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issues termination/service letter and EOSB confirmation to employee.</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Document Records / Email</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Termination documents issued.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12</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Initiate exit clearance: Asset return, badge cancellation, IT access revocation, library/loan recovery.</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 Specialist</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Exit Checklist / ServiceNow</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Clearance process initiated.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13</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Update system access: trigger IT deprovisioning on the last working day.</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 IT</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IT Deprovisioning request</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Access revoked on last day.</w:t>
            </w:r>
          </w:p>
        </w:tc>
      </w:tr>
      <w:tr>
        <w:tc>
          <w:tcPr>
            <w:tcW w:type="dxa" w:w="680"/>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14</w:t>
            </w:r>
          </w:p>
        </w:tc>
        <w:tc>
          <w:tcPr>
            <w:tcW w:type="dxa" w:w="328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Conduct / schedule exit interview (voluntary terminations). Capture reasons for departure.</w:t>
            </w:r>
          </w:p>
        </w:tc>
        <w:tc>
          <w:tcPr>
            <w:tcW w:type="dxa" w:w="181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HRBP</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Exit interview form / HCM Survey</w:t>
            </w:r>
          </w:p>
        </w:tc>
        <w:tc>
          <w:tcPr>
            <w:tcW w:type="dxa" w:w="204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color w:val="111827"/>
                <w:sz w:val="18"/>
              </w:rPr>
              <w:t>Exit data captured.</w:t>
            </w:r>
          </w:p>
        </w:tc>
      </w:tr>
      <w:tr>
        <w:tc>
          <w:tcPr>
            <w:tcW w:type="dxa" w:w="680"/>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15</w:t>
            </w:r>
          </w:p>
        </w:tc>
        <w:tc>
          <w:tcPr>
            <w:tcW w:type="dxa" w:w="328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Verify employee is removed from headcount reports and active employee lists on effective termination date.</w:t>
            </w:r>
          </w:p>
        </w:tc>
        <w:tc>
          <w:tcPr>
            <w:tcW w:type="dxa" w:w="181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HR Specialist / HRIS</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HCM Analytics → Headcount Report</w:t>
            </w:r>
          </w:p>
        </w:tc>
        <w:tc>
          <w:tcPr>
            <w:tcW w:type="dxa" w:w="204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color w:val="111827"/>
                <w:sz w:val="18"/>
              </w:rPr>
              <w:t>Employee removed from active headcount.</w:t>
            </w:r>
          </w:p>
        </w:tc>
      </w:tr>
    </w:tbl>
    <w:p/>
    <w:p>
      <w:pPr>
        <w:pStyle w:val="Heading2"/>
      </w:pPr>
      <w:r>
        <w:t>7. Decision Points &amp; Exceptions</w:t>
      </w:r>
    </w:p>
    <w:p>
      <w:pPr>
        <w:pStyle w:val="Heading3"/>
      </w:pPr>
      <w:r>
        <w:t>7.1 EOSB / Gratuity Calculation Disputes</w:t>
      </w:r>
    </w:p>
    <w:p>
      <w:pPr>
        <w:spacing w:after="80"/>
      </w:pPr>
      <w:r>
        <w:rPr>
          <w:rFonts w:ascii="Calibri" w:hAnsi="Calibri"/>
          <w:color w:val="111827"/>
          <w:sz w:val="22"/>
        </w:rPr>
        <w:t>If the employee disputes the EOSB calculation, escalate to Payroll Manager and Legal. Do not process final pay until the figure is agreed. Document the dispute and resolution in the employee's file.</w:t>
      </w:r>
    </w:p>
    <w:p>
      <w:pPr>
        <w:pStyle w:val="Heading3"/>
      </w:pPr>
      <w:r>
        <w:t>7.2 Employee on Garden Leave</w:t>
      </w:r>
    </w:p>
    <w:p>
      <w:pPr>
        <w:spacing w:after="80"/>
      </w:pPr>
      <w:r>
        <w:rPr>
          <w:rFonts w:ascii="Calibri" w:hAnsi="Calibri"/>
          <w:color w:val="111827"/>
          <w:sz w:val="22"/>
        </w:rPr>
        <w:t>If the employee is placed on garden leave during notice period, the termination date remains the last day of the notice period. System access may be revoked earlier — confirm with Legal.</w:t>
      </w:r>
    </w:p>
    <w:p>
      <w:pPr>
        <w:shd w:val="clear" w:color="auto" w:fill="FEE2E2"/>
        <w:spacing w:before="80" w:after="160"/>
      </w:pPr>
      <w:r>
        <w:rPr>
          <w:rFonts w:ascii="Calibri" w:hAnsi="Calibri"/>
          <w:b/>
          <w:color w:val="991B1B"/>
          <w:sz w:val="20"/>
        </w:rPr>
        <w:t xml:space="preserve">⚠ Warning:  </w:t>
      </w:r>
      <w:r>
        <w:rPr>
          <w:rFonts w:ascii="Calibri" w:hAnsi="Calibri"/>
          <w:color w:val="111827"/>
          <w:sz w:val="20"/>
        </w:rPr>
        <w:t>Do not backdate terminations without written approval from the HRIS Administrator and CHRO. Backdated terminations can create payroll and statutory compliance issues.</w:t>
      </w:r>
    </w:p>
    <w:p>
      <w:pPr>
        <w:pStyle w:val="Heading3"/>
      </w:pPr>
      <w:r>
        <w:t>7.3 Immediate Dismissal</w:t>
      </w:r>
    </w:p>
    <w:p>
      <w:pPr>
        <w:spacing w:after="80"/>
      </w:pPr>
      <w:r>
        <w:rPr>
          <w:rFonts w:ascii="Calibri" w:hAnsi="Calibri"/>
          <w:color w:val="111827"/>
          <w:sz w:val="22"/>
        </w:rPr>
        <w:t>For immediate dismissal (no notice period), the effective date = date of dismissal. Legal sign-off required before any system entry. Payroll must be notified on the same day for final pay preparation.</w:t>
      </w:r>
    </w:p>
    <w:p>
      <w:pPr>
        <w:pStyle w:val="Heading2"/>
      </w:pPr>
      <w:r>
        <w:t>8. Oracle HCM System Notes</w:t>
      </w:r>
    </w:p>
    <w:p>
      <w:pPr>
        <w:pStyle w:val="ListBullet"/>
        <w:spacing w:after="60"/>
        <w:ind w:left="340"/>
      </w:pPr>
      <w:r>
        <w:rPr>
          <w:rFonts w:ascii="Calibri" w:hAnsi="Calibri"/>
          <w:sz w:val="22"/>
        </w:rPr>
        <w:t>Access: Navigator → My Client Groups → Person Management → Actions → Terminate.</w:t>
      </w:r>
    </w:p>
    <w:p>
      <w:pPr>
        <w:pStyle w:val="ListBullet"/>
        <w:spacing w:after="60"/>
        <w:ind w:left="340"/>
      </w:pPr>
      <w:r>
        <w:rPr>
          <w:rFonts w:ascii="Calibri" w:hAnsi="Calibri"/>
          <w:sz w:val="22"/>
        </w:rPr>
        <w:t>The termination effective date in Oracle HCM is the last active day of employment. The employee's record becomes inactive the following day.</w:t>
      </w:r>
    </w:p>
    <w:p>
      <w:pPr>
        <w:pStyle w:val="ListBullet"/>
        <w:spacing w:after="60"/>
        <w:ind w:left="340"/>
      </w:pPr>
      <w:r>
        <w:rPr>
          <w:rFonts w:ascii="Calibri" w:hAnsi="Calibri"/>
          <w:sz w:val="22"/>
        </w:rPr>
        <w:t>Oracle HCM will block submission if the employee has unapproved pending transactions — resolve these first.</w:t>
      </w:r>
    </w:p>
    <w:p>
      <w:pPr>
        <w:pStyle w:val="ListBullet"/>
        <w:spacing w:after="60"/>
        <w:ind w:left="340"/>
      </w:pPr>
      <w:r>
        <w:rPr>
          <w:rFonts w:ascii="Calibri" w:hAnsi="Calibri"/>
          <w:sz w:val="22"/>
        </w:rPr>
        <w:t>EOSB / gratuity calculation may be handled via a separate Payroll element — confirm configuration with the Payroll team.</w:t>
      </w:r>
    </w:p>
    <w:p>
      <w:pPr>
        <w:pStyle w:val="ListBullet"/>
        <w:spacing w:after="60"/>
        <w:ind w:left="340"/>
      </w:pPr>
      <w:r>
        <w:rPr>
          <w:rFonts w:ascii="Calibri" w:hAnsi="Calibri"/>
          <w:sz w:val="22"/>
        </w:rPr>
        <w:t>Terminated employees remain searchable in Oracle HCM with an "Inactive" status for historical record and audit purposes.</w:t>
      </w:r>
    </w:p>
    <w:p>
      <w:pPr>
        <w:pStyle w:val="Heading2"/>
      </w:pPr>
      <w:r>
        <w:t>9. SLAs &amp; KPIs</w:t>
      </w:r>
    </w:p>
    <w:tbl>
      <w:tblPr>
        <w:tblStyle w:val="TableGrid"/>
        <w:tblW w:type="auto" w:w="0"/>
        <w:tblLook w:firstColumn="1" w:firstRow="1" w:lastColumn="0" w:lastRow="0" w:noHBand="0" w:noVBand="1" w:val="04A0"/>
      </w:tblPr>
      <w:tblGrid>
        <w:gridCol w:w="3009"/>
        <w:gridCol w:w="3009"/>
        <w:gridCol w:w="3009"/>
      </w:tblGrid>
      <w:tr>
        <w:tc>
          <w:tcPr>
            <w:tcW w:type="dxa" w:w="340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 / Benchmark</w:t>
            </w:r>
          </w:p>
        </w:tc>
        <w:tc>
          <w:tcPr>
            <w:tcW w:type="dxa" w:w="4876"/>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Termination processing SLA (from last day)</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 1 business day</w:t>
            </w:r>
          </w:p>
        </w:tc>
        <w:tc>
          <w:tcPr>
            <w:tcW w:type="dxa" w:w="487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Oracle HCM transaction log</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Final pay issuance SLA</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Within legal requirement (country-specific)</w:t>
            </w:r>
          </w:p>
        </w:tc>
        <w:tc>
          <w:tcPr>
            <w:tcW w:type="dxa" w:w="487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Payroll processing date</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System access revocation</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100% by end of last working day</w:t>
            </w:r>
          </w:p>
        </w:tc>
        <w:tc>
          <w:tcPr>
            <w:tcW w:type="dxa" w:w="487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IT deprovisioning log</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color w:val="111827"/>
                <w:sz w:val="18"/>
              </w:rPr>
              <w:t>Exit interview completion (voluntary)</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 80% completion rate</w:t>
            </w:r>
          </w:p>
        </w:tc>
        <w:tc>
          <w:tcPr>
            <w:tcW w:type="dxa" w:w="487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color w:val="111827"/>
                <w:sz w:val="18"/>
              </w:rPr>
              <w:t>Exit survey dashboard</w:t>
            </w:r>
          </w:p>
        </w:tc>
      </w:tr>
      <w:tr>
        <w:tc>
          <w:tcPr>
            <w:tcW w:type="dxa" w:w="340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111827"/>
                <w:sz w:val="18"/>
              </w:rPr>
              <w:t>EOSB accuracy</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100% match to entitlement</w:t>
            </w:r>
          </w:p>
        </w:tc>
        <w:tc>
          <w:tcPr>
            <w:tcW w:type="dxa" w:w="487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color w:val="111827"/>
                <w:sz w:val="18"/>
              </w:rPr>
              <w:t>Payroll audit</w:t>
            </w:r>
          </w:p>
        </w:tc>
      </w:tr>
    </w:tbl>
    <w:p/>
    <w:p>
      <w:pPr>
        <w:pStyle w:val="Heading2"/>
      </w:pPr>
      <w:r>
        <w:t>10. Related Documents</w:t>
      </w:r>
    </w:p>
    <w:p>
      <w:pPr>
        <w:pStyle w:val="ListBullet"/>
        <w:spacing w:after="60"/>
        <w:ind w:left="340"/>
      </w:pPr>
      <w:r>
        <w:rPr>
          <w:rFonts w:ascii="Calibri" w:hAnsi="Calibri"/>
          <w:sz w:val="22"/>
        </w:rPr>
        <w:t>SOP-HCM-001: Hire Employee</w:t>
      </w:r>
    </w:p>
    <w:p>
      <w:pPr>
        <w:pStyle w:val="ListBullet"/>
        <w:spacing w:after="60"/>
        <w:ind w:left="340"/>
      </w:pPr>
      <w:r>
        <w:rPr>
          <w:rFonts w:ascii="Calibri" w:hAnsi="Calibri"/>
          <w:sz w:val="22"/>
        </w:rPr>
        <w:t>EOSB / Gratuity Calculation Policy</w:t>
      </w:r>
    </w:p>
    <w:p>
      <w:pPr>
        <w:pStyle w:val="ListBullet"/>
        <w:spacing w:after="60"/>
        <w:ind w:left="340"/>
      </w:pPr>
      <w:r>
        <w:rPr>
          <w:rFonts w:ascii="Calibri" w:hAnsi="Calibri"/>
          <w:sz w:val="22"/>
        </w:rPr>
        <w:t>Disciplinary &amp; Termination Policy</w:t>
      </w:r>
    </w:p>
    <w:p>
      <w:pPr>
        <w:pStyle w:val="ListBullet"/>
        <w:spacing w:after="60"/>
        <w:ind w:left="340"/>
      </w:pPr>
      <w:r>
        <w:rPr>
          <w:rFonts w:ascii="Calibri" w:hAnsi="Calibri"/>
          <w:sz w:val="22"/>
        </w:rPr>
        <w:t>Exit Clearance Checklist</w:t>
      </w:r>
    </w:p>
    <w:p>
      <w:pPr>
        <w:pStyle w:val="ListBullet"/>
        <w:spacing w:after="60"/>
        <w:ind w:left="340"/>
      </w:pPr>
      <w:r>
        <w:rPr>
          <w:rFonts w:ascii="Calibri" w:hAnsi="Calibri"/>
          <w:sz w:val="22"/>
        </w:rPr>
        <w:t>Oracle HCM User Guide: Terminate Employment – Line Manager</w:t>
      </w:r>
    </w:p>
    <w:p>
      <w:pPr>
        <w:pStyle w:val="Heading2"/>
      </w:pPr>
      <w:r>
        <w:t>11. 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 of Change</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8643EB38CAB3C48B7CFC62BA1EEFCE0" ma:contentTypeVersion="7" ma:contentTypeDescription="Create a new document." ma:contentTypeScope="" ma:versionID="abc323d0683bc83ae6869a758ecb891c">
  <xsd:schema xmlns:xsd="http://www.w3.org/2001/XMLSchema" xmlns:xs="http://www.w3.org/2001/XMLSchema" xmlns:p="http://schemas.microsoft.com/office/2006/metadata/properties" xmlns:ns2="e32645b4-328d-4a37-aecf-3a7fa3b35859" targetNamespace="http://schemas.microsoft.com/office/2006/metadata/properties" ma:root="true" ma:fieldsID="98541f00271e346a25aa7337283c2f1c" ns2:_="">
    <xsd:import namespace="e32645b4-328d-4a37-aecf-3a7fa3b358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645b4-328d-4a37-aecf-3a7fa3b358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A89D8F8-455E-4A7A-BDE8-E50154F0E799}"/>
</file>

<file path=customXml/itemProps3.xml><?xml version="1.0" encoding="utf-8"?>
<ds:datastoreItem xmlns:ds="http://schemas.openxmlformats.org/officeDocument/2006/customXml" ds:itemID="{E39D6499-DE91-4F3A-A6E8-42C12B1B266A}"/>
</file>

<file path=customXml/itemProps4.xml><?xml version="1.0" encoding="utf-8"?>
<ds:datastoreItem xmlns:ds="http://schemas.openxmlformats.org/officeDocument/2006/customXml" ds:itemID="{3CEFEA09-C464-49FB-824C-58ADFE63292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0x01010088643EB38CAB3C48B7CFC62BA1EEFCE0</vt:lpwstr>
  </property>
</Properties>
</file>