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SOP-HCM-006</w:t>
      </w:r>
    </w:p>
    <w:p>
      <w:pPr>
        <w:jc w:val="center"/>
      </w:pPr>
      <w:r>
        <w:rPr>
          <w:rFonts w:ascii="Calibri" w:hAnsi="Calibri"/>
          <w:b/>
          <w:color w:val="2D2B55"/>
          <w:sz w:val="52"/>
        </w:rPr>
        <w:t>Change Assignment</w:t>
      </w:r>
    </w:p>
    <w:p>
      <w:pPr>
        <w:jc w:val="center"/>
      </w:pPr>
      <w:r>
        <w:rPr>
          <w:rFonts w:ascii="Calibri" w:hAnsi="Calibri"/>
          <w:color w:val="6B7280"/>
          <w:sz w:val="26"/>
        </w:rPr>
        <w:t>Assignment Change Process | Oracle HCM Fusion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SOP-HCM-006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Change Assignment – Assignment Modification Process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This SOP defines the process for modifying an employee's assignment details in Oracle HCM Fusion, including changes to job, position, grade, working pattern, employment type, or any other assignment-level attribute that does not constitute a promotion, transfer, or title change requiring a separate action.</w:t>
      </w:r>
    </w:p>
    <w:p>
      <w:pPr>
        <w:pStyle w:val="Heading2"/>
      </w:pPr>
      <w:r>
        <w:t>3. Scope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Assignment-level changes: job code, grade step, employment type, FTE, contract type updates.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Corrections to existing assignment data identified post-hire or post-transfer.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HR Specialists processing assignment change actions in Oracle HCM.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📌 Note:  </w:t>
      </w:r>
      <w:r>
        <w:rPr>
          <w:rFonts w:ascii="Calibri" w:hAnsi="Calibri"/>
          <w:color w:val="111827"/>
          <w:sz w:val="20"/>
        </w:rPr>
        <w:t>Grade changes that represent a promotion must use the Promote action (SOP-HCM-002). Department changes must use Transfer (SOP-HCM-003).</w:t>
      </w:r>
    </w:p>
    <w:p>
      <w:pPr>
        <w:pStyle w:val="Heading2"/>
      </w:pPr>
      <w:r>
        <w:t>4. Pre-Conditions &amp; Prerequisites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Assignment change request approved by Line Manager and HR Business Partner.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Supporting documentation for the change is available (e.g., updated contract, memo).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Payroll team informed if the change impacts compensation elements or cost allocation.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 / Persona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 Level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 Specialist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Full Edit – Core HR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Initiate and process assignment change in Oracle HCM.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Line Manager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 assignment change request and confirm effective date.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Payroll Team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View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Review for any payroll impact and update element entries if required.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HRIS Administrator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System Admin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Resolve any position sync or workflow errors.</w:t>
            </w:r>
          </w:p>
        </w:tc>
      </w:tr>
    </w:tbl>
    <w:p/>
    <w:p>
      <w:pPr>
        <w:pStyle w:val="Heading2"/>
      </w:pPr>
      <w:r>
        <w:t>6. Process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 Role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Receive approved assignment change request with: employee name/ID, field(s) to change, new value(s),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Email / HR workflow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Change request confirmed.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Navigate to employee record: My Client Groups → Person Management → Search employee.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Navigator → Person Management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Employee profile opened.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Select Action → Change Assignment. Set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Actions → Change Assignment → Effective Date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Change Assignment transaction opened.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the relevant assignment fields: Job, Grade, FTE, Working Hours, Employment Type, Contract Type as applicable.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Change Assignment → Assignment tab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Fields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If the change affects compensation elements, update the Compensation tab.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Change Assignment → Compensation tab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Compensation updated if applicable.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Review changes for accuracy. Confirm effective date is correct.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Review screen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Data validated.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Submit the transaction. Workflow approval triggered.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Submit → Confirm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Approval workflow initiated.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Line Manager / HRBP approves in Oracle Worklist.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Line Manager / HRBP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Bell → Worklist → Approve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Change approved.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Verify changes reflect in employee assignment history and relevant reports.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Assignment History → HCM Analytics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Change confirmed in system.</w:t>
            </w:r>
          </w:p>
        </w:tc>
      </w:tr>
    </w:tbl>
    <w:p/>
    <w:p>
      <w:pPr>
        <w:pStyle w:val="Heading2"/>
      </w:pPr>
      <w:r>
        <w:t>7. Oracle HCM System Notes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Access: Navigator → My Client Groups → Person Management → Actions → Change Assignment.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Change Assignment creates a new assignment version effective from the chosen date — earlier versions are preserved in history.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Avoid using "Correct" mode unless the original entry was a data error — use "Update" for legitimate business changes.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⚠ Warning:  </w:t>
      </w:r>
      <w:r>
        <w:rPr>
          <w:rFonts w:ascii="Calibri" w:hAnsi="Calibri"/>
          <w:color w:val="111827"/>
          <w:sz w:val="20"/>
        </w:rPr>
        <w:t>Using "Correct" mode overwrites historical data. Only use it for genuine data entry errors with HRIS Administrator approval.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/ Benchmark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Change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≤ 2 business days from approval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Oracle HCM transaction log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Data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≥ 99% first-time right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Monthly HRIS audit</w:t>
            </w:r>
          </w:p>
        </w:tc>
      </w:tr>
    </w:tbl>
    <w:p/>
    <w:p>
      <w:pPr>
        <w:pStyle w:val="Heading2"/>
      </w:pPr>
      <w:r>
        <w:t>9. Related Documents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SOP-HCM-002: Promote Employee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SOP-HCM-003: Transfer Employee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SOP-HCM-008: Change Working Hours</w:t>
      </w:r>
    </w:p>
    <w:p>
      <w:pPr>
        <w:pStyle w:val="Heading2"/>
      </w:pPr>
      <w:r>
        <w:t>10.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 of Change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273D0-A64C-4B9D-91B3-2C8242E43162}"/>
</file>

<file path=customXml/itemProps3.xml><?xml version="1.0" encoding="utf-8"?>
<ds:datastoreItem xmlns:ds="http://schemas.openxmlformats.org/officeDocument/2006/customXml" ds:itemID="{DDD3541A-2D6F-4551-B98F-F927D239E0EB}"/>
</file>

<file path=customXml/itemProps4.xml><?xml version="1.0" encoding="utf-8"?>
<ds:datastoreItem xmlns:ds="http://schemas.openxmlformats.org/officeDocument/2006/customXml" ds:itemID="{C70082C7-7C3C-4B7D-8ADF-CAA31031CC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