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SOP-HCM-007</w:t>
      </w:r>
    </w:p>
    <w:p>
      <w:pPr>
        <w:jc w:val="center"/>
      </w:pPr>
      <w:r>
        <w:rPr>
          <w:rFonts w:ascii="Calibri" w:hAnsi="Calibri"/>
          <w:b/>
          <w:color w:val="2D2B55"/>
          <w:sz w:val="52"/>
        </w:rPr>
        <w:t>Change Location</w:t>
      </w:r>
    </w:p>
    <w:p>
      <w:pPr>
        <w:jc w:val="center"/>
      </w:pPr>
      <w:r>
        <w:rPr>
          <w:rFonts w:ascii="Calibri" w:hAnsi="Calibri"/>
          <w:color w:val="6B7280"/>
          <w:sz w:val="26"/>
        </w:rPr>
        <w:t>Work Location Change | Oracle HCM Fusion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SOP-HCM-007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Change Location – Work Location Change Process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SOP-HCM-007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This SOP defines the process for updating an employee's work location in Oracle HCM Fusion. Location changes may result from office relocations, hybrid/remote work transitions, or intra-city office moves within the same legal entity and country.</w:t>
      </w:r>
    </w:p>
    <w:p>
      <w:pPr>
        <w:pStyle w:val="Heading2"/>
      </w:pPr>
      <w:r>
        <w:t>3. Scope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Physical work location changes within the same legal entity and country.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Transitions from on-site to remote/hybrid work arrangements.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HR Specialists processing location change actions.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⚠ Warning:  </w:t>
      </w:r>
      <w:r>
        <w:rPr>
          <w:rFonts w:ascii="Calibri" w:hAnsi="Calibri"/>
          <w:color w:val="111827"/>
          <w:sz w:val="20"/>
        </w:rPr>
        <w:t>Cross-country location changes constitute a Global Transfer (SOP-HCM-004) and must not be processed using the Change Location action.</w:t>
      </w:r>
    </w:p>
    <w:p>
      <w:pPr>
        <w:pStyle w:val="Heading2"/>
      </w:pPr>
      <w:r>
        <w:t>4. Pre-Conditions &amp; Prerequisites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Location change approved by Line Manager and Facilities/HR Business Partner.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New location exists as an active Location record in Oracle HCM.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Any cost centre or payroll costing changes confirmed with Finance.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 / Persona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 Level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 Specialist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Full Edit – Core HR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Process location change in Oracle HCM.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Line Manager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Approver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Approve location change request.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Facilities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Coordinator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Confirm new physical workspace allocation.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Payroll Team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View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Confirm any allowance or costing changes tied to location.</w:t>
            </w:r>
          </w:p>
        </w:tc>
      </w:tr>
    </w:tbl>
    <w:p/>
    <w:p>
      <w:pPr>
        <w:pStyle w:val="Heading2"/>
      </w:pPr>
      <w:r>
        <w:t>6. Process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 Role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Receive approved location change request: employee, new location, effective date.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Email / workflow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Request confirmed.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Search employee in Oracle HCM. Select Action → Change Location (or Change Assignment → Location field).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Navigator → Person Management → Actions → Change Location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Transaction opened.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Select the new Location from the approved location list. Set effective date.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Location field → Effective Date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Location selected.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If the location change affects any location-based allowances (e.g., transport, housing), update compensation elements.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 / Payroll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Compensation tab → Allowances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Allowances reviewed.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Submit. Approve via Worklist.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 /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Submit → Approve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Location change approved.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Verify location updated in employee profile and org chart.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HCM Analytics → Location Report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confirmed.</w:t>
            </w:r>
          </w:p>
        </w:tc>
      </w:tr>
    </w:tbl>
    <w:p/>
    <w:p>
      <w:pPr>
        <w:pStyle w:val="Heading2"/>
      </w:pPr>
      <w:r>
        <w:t>7. Oracle HCM System Notes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The Location field must reference an active Location record in Oracle HCM Setup. HR must not type free-text location names.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If the required location does not exist, HRIS Administrator must create it in: Setup and Maintenance → Locations.</w:t>
      </w:r>
    </w:p>
    <w:p>
      <w:pPr>
        <w:pStyle w:val="Heading2"/>
      </w:pPr>
      <w:r>
        <w:t>8. Related Documents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SOP-HCM-004: Local &amp; Global Transfer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SOP-HCM-006: Change Assignment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Oracle HCM User Guide: Change Location – HR Specialist</w:t>
      </w:r>
    </w:p>
    <w:p>
      <w:pPr>
        <w:pStyle w:val="Heading2"/>
      </w:pPr>
      <w:r>
        <w:t>9.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 of Change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469C4E-4D2E-4529-B1E2-5E73FBAAB53D}"/>
</file>

<file path=customXml/itemProps3.xml><?xml version="1.0" encoding="utf-8"?>
<ds:datastoreItem xmlns:ds="http://schemas.openxmlformats.org/officeDocument/2006/customXml" ds:itemID="{16ABA158-E73A-4DF2-A4F1-4DCC423B9BC8}"/>
</file>

<file path=customXml/itemProps4.xml><?xml version="1.0" encoding="utf-8"?>
<ds:datastoreItem xmlns:ds="http://schemas.openxmlformats.org/officeDocument/2006/customXml" ds:itemID="{EAB70C31-8FBD-48F8-B9F6-33F779CE87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