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SOP-HCM-010</w:t>
      </w:r>
    </w:p>
    <w:p>
      <w:pPr>
        <w:jc w:val="center"/>
      </w:pPr>
      <w:r>
        <w:rPr>
          <w:rFonts w:ascii="Calibri" w:hAnsi="Calibri"/>
          <w:b/>
          <w:color w:val="2D2B55"/>
          <w:sz w:val="52"/>
        </w:rPr>
        <w:t>Non-Worker</w:t>
      </w:r>
    </w:p>
    <w:p>
      <w:pPr>
        <w:jc w:val="center"/>
      </w:pPr>
      <w:r>
        <w:rPr>
          <w:rFonts w:ascii="Calibri" w:hAnsi="Calibri"/>
          <w:color w:val="6B7280"/>
          <w:sz w:val="26"/>
        </w:rPr>
        <w:t>Non-Worker Addition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Non-Worker – Non-Worker Addition Process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process for adding a Non-Worker into Oracle HCM Fusion. Non-Workers are individuals who are not employees or contingent workers but require an Oracle HCM record for system access, compliance tracking, or process participation (e.g., Board Members, Volunteers, Trainees under specific schemes, Interns not on payroll).</w:t>
      </w:r>
    </w:p>
    <w:p>
      <w:pPr>
        <w:pStyle w:val="Heading2"/>
      </w:pPr>
      <w:r>
        <w:t>3. Scope</w:t>
      </w:r>
    </w:p>
    <w:p>
      <w:pPr>
        <w:pStyle w:val="ListBullet"/>
        <w:spacing w:after="60"/>
        <w:ind w:left="340"/>
      </w:pPr>
      <w:r>
        <w:rPr>
          <w:rFonts w:ascii="Calibri" w:hAnsi="Calibri"/>
          <w:sz w:val="22"/>
        </w:rPr>
        <w:t>Board members, advisors, and non-executive directors requiring system access.</w:t>
      </w:r>
    </w:p>
    <w:p>
      <w:pPr>
        <w:pStyle w:val="ListBullet"/>
        <w:spacing w:after="60"/>
        <w:ind w:left="340"/>
      </w:pPr>
      <w:r>
        <w:rPr>
          <w:rFonts w:ascii="Calibri" w:hAnsi="Calibri"/>
          <w:sz w:val="22"/>
        </w:rPr>
        <w:t>Trainees and interns not on a standard payroll.</w:t>
      </w:r>
    </w:p>
    <w:p>
      <w:pPr>
        <w:pStyle w:val="ListBullet"/>
        <w:spacing w:after="60"/>
        <w:ind w:left="340"/>
      </w:pPr>
      <w:r>
        <w:rPr>
          <w:rFonts w:ascii="Calibri" w:hAnsi="Calibri"/>
          <w:sz w:val="22"/>
        </w:rPr>
        <w:t>Volunteers and sponsored participants.</w:t>
      </w:r>
    </w:p>
    <w:p>
      <w:pPr>
        <w:shd w:val="clear" w:color="auto" w:fill="FEF3C7"/>
        <w:spacing w:before="80" w:after="160"/>
      </w:pPr>
      <w:r>
        <w:rPr>
          <w:rFonts w:ascii="Calibri" w:hAnsi="Calibri"/>
          <w:b/>
          <w:color w:val="92400E"/>
          <w:sz w:val="20"/>
        </w:rPr>
        <w:t xml:space="preserve">📌 Note:  </w:t>
      </w:r>
      <w:r>
        <w:rPr>
          <w:rFonts w:ascii="Calibri" w:hAnsi="Calibri"/>
          <w:color w:val="111827"/>
          <w:sz w:val="20"/>
        </w:rPr>
        <w:t>Non-Workers do NOT appear in standard employee headcount reports. They are tracked separately. Confirm the correct worker type before processing.</w:t>
      </w:r>
    </w:p>
    <w:p>
      <w:pPr>
        <w:pStyle w:val="Heading2"/>
      </w:pPr>
      <w:r>
        <w:t>4. Pre-Conditions &amp; Prerequisites</w:t>
      </w:r>
    </w:p>
    <w:p>
      <w:pPr>
        <w:pStyle w:val="ListBullet"/>
        <w:spacing w:after="60"/>
        <w:ind w:left="340"/>
      </w:pPr>
      <w:r>
        <w:rPr>
          <w:rFonts w:ascii="Calibri" w:hAnsi="Calibri"/>
          <w:sz w:val="22"/>
        </w:rPr>
        <w:t>Business justification for the non-worker record approved by HR Director.</w:t>
      </w:r>
    </w:p>
    <w:p>
      <w:pPr>
        <w:pStyle w:val="ListBullet"/>
        <w:spacing w:after="60"/>
        <w:ind w:left="340"/>
      </w:pPr>
      <w:r>
        <w:rPr>
          <w:rFonts w:ascii="Calibri" w:hAnsi="Calibri"/>
          <w:sz w:val="22"/>
        </w:rPr>
        <w:t>Non-worker type confirmed: the specific non-worker classification used in Oracle HCM.</w:t>
      </w:r>
    </w:p>
    <w:p>
      <w:pPr>
        <w:pStyle w:val="ListBullet"/>
        <w:spacing w:after="60"/>
        <w:ind w:left="340"/>
      </w:pPr>
      <w:r>
        <w:rPr>
          <w:rFonts w:ascii="Calibri" w:hAnsi="Calibri"/>
          <w:sz w:val="22"/>
        </w:rPr>
        <w:t>Required personal information collected from the individual.</w:t>
      </w:r>
    </w:p>
    <w:p>
      <w:pPr>
        <w:pStyle w:val="ListBullet"/>
        <w:spacing w:after="60"/>
        <w:ind w:left="340"/>
      </w:pPr>
      <w:r>
        <w:rPr>
          <w:rFonts w:ascii="Calibri" w:hAnsi="Calibri"/>
          <w:sz w:val="22"/>
        </w:rPr>
        <w:t>IT access requirements confirmed (if the non-worker requires system access).</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 Specialist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Create non-worker record in Oracle HCM.</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Requesting Manager</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Initiator</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Submit non-worker request with full details and justification.</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HRIS Administrator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System Admin</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Confirm correct worker type configuration.</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IT</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Access Provisioning</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Provide appropriate system access as per HR instructions.</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approved non-worker request with: full name, type, department, start date, end date (if applicable), required system access.</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 / workflow</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Request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Navigate: My Client Groups → Person Management → Add Person. Select Person Type = Non-Worker.</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Navigator → Add Person → Person Type: Non-Worker</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Non-worker transaction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Enter personal information: Name, Date of Birth, National ID, Nationality.</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Personal Information tab</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Personal data captured.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Enter work assignment details: Department, Start Date, End Date, Location, Manager.</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Assignment tab</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Assignment details recorded.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Submit. Approve via Worklist.</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Manager</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Submit → Approve</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Non-worker record created.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Trigger IT access provisioning if required.</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 / IT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IT Access Request</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Access provisioned.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Confirm non-worker record is active and correctly classified.</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Person Management → Non-Worker report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Record confirmed.</w:t>
            </w:r>
          </w:p>
        </w:tc>
      </w:tr>
    </w:tbl>
    <w:p/>
    <w:p>
      <w:pPr>
        <w:pStyle w:val="Heading2"/>
      </w:pPr>
      <w:r>
        <w:t>7. Oracle HCM System Notes</w:t>
      </w:r>
    </w:p>
    <w:p>
      <w:pPr>
        <w:pStyle w:val="ListBullet"/>
        <w:spacing w:after="60"/>
        <w:ind w:left="340"/>
      </w:pPr>
      <w:r>
        <w:rPr>
          <w:rFonts w:ascii="Calibri" w:hAnsi="Calibri"/>
          <w:sz w:val="22"/>
        </w:rPr>
        <w:t>Non-Workers are created using "Add Person" with Worker Type = Non-Worker.</w:t>
      </w:r>
    </w:p>
    <w:p>
      <w:pPr>
        <w:pStyle w:val="ListBullet"/>
        <w:spacing w:after="60"/>
        <w:ind w:left="340"/>
      </w:pPr>
      <w:r>
        <w:rPr>
          <w:rFonts w:ascii="Calibri" w:hAnsi="Calibri"/>
          <w:sz w:val="22"/>
        </w:rPr>
        <w:t>They appear in Non-Worker reports but NOT in standard Headcount or FTE reports.</w:t>
      </w:r>
    </w:p>
    <w:p>
      <w:pPr>
        <w:pStyle w:val="ListBullet"/>
        <w:spacing w:after="60"/>
        <w:ind w:left="340"/>
      </w:pPr>
      <w:r>
        <w:rPr>
          <w:rFonts w:ascii="Calibri" w:hAnsi="Calibri"/>
          <w:sz w:val="22"/>
        </w:rPr>
        <w:t>Non-workers can be given limited Oracle HCM self-service access if required.</w:t>
      </w:r>
    </w:p>
    <w:p>
      <w:pPr>
        <w:pStyle w:val="Heading2"/>
      </w:pPr>
      <w:r>
        <w:t>8. Related Documents</w:t>
      </w:r>
    </w:p>
    <w:p>
      <w:pPr>
        <w:pStyle w:val="ListBullet"/>
        <w:spacing w:after="60"/>
        <w:ind w:left="340"/>
      </w:pPr>
      <w:r>
        <w:rPr>
          <w:rFonts w:ascii="Calibri" w:hAnsi="Calibri"/>
          <w:sz w:val="22"/>
        </w:rPr>
        <w:t>SOP-HCM-001: Hire Employee</w:t>
      </w:r>
    </w:p>
    <w:p>
      <w:pPr>
        <w:pStyle w:val="ListBullet"/>
        <w:spacing w:after="60"/>
        <w:ind w:left="340"/>
      </w:pPr>
      <w:r>
        <w:rPr>
          <w:rFonts w:ascii="Calibri" w:hAnsi="Calibri"/>
          <w:sz w:val="22"/>
        </w:rPr>
        <w:t>SOP-HCM-011: Contingent Workers</w:t>
      </w:r>
    </w:p>
    <w:p>
      <w:pPr>
        <w:pStyle w:val="ListBullet"/>
        <w:spacing w:after="60"/>
        <w:ind w:left="340"/>
      </w:pPr>
      <w:r>
        <w:rPr>
          <w:rFonts w:ascii="Calibri" w:hAnsi="Calibri"/>
          <w:sz w:val="22"/>
        </w:rPr>
        <w:t>Oracle HCM User Guide: Non-Worker – HR Specialist</w:t>
      </w:r>
    </w:p>
    <w:p>
      <w:pPr>
        <w:pStyle w:val="Heading2"/>
      </w:pPr>
      <w:r>
        <w:t>9.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607901-50FC-4CC2-B5E4-29306EFB78AA}"/>
</file>

<file path=customXml/itemProps3.xml><?xml version="1.0" encoding="utf-8"?>
<ds:datastoreItem xmlns:ds="http://schemas.openxmlformats.org/officeDocument/2006/customXml" ds:itemID="{4E372780-0AF2-4FBF-83D3-EC76D1A4492F}"/>
</file>

<file path=customXml/itemProps4.xml><?xml version="1.0" encoding="utf-8"?>
<ds:datastoreItem xmlns:ds="http://schemas.openxmlformats.org/officeDocument/2006/customXml" ds:itemID="{7669DAC4-F069-4AA3-960E-06558DEC1C2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