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SOP-HCM-011</w:t>
      </w:r>
    </w:p>
    <w:p>
      <w:pPr>
        <w:jc w:val="center"/>
      </w:pPr>
      <w:r>
        <w:rPr>
          <w:rFonts w:ascii="Calibri" w:hAnsi="Calibri"/>
          <w:b/>
          <w:color w:val="2D2B55"/>
          <w:sz w:val="52"/>
        </w:rPr>
        <w:t>Contingent Workers</w:t>
      </w:r>
    </w:p>
    <w:p>
      <w:pPr>
        <w:jc w:val="center"/>
      </w:pPr>
      <w:r>
        <w:rPr>
          <w:rFonts w:ascii="Calibri" w:hAnsi="Calibri"/>
          <w:color w:val="6B7280"/>
          <w:sz w:val="26"/>
        </w:rPr>
        <w:t>Contingent Workforce Management | Oracle HCM Fusion</w:t>
      </w:r>
    </w:p>
    <w:p/>
    <w:p/>
    <w:p/>
    <w:tbl>
      <w:tblPr>
        <w:tblStyle w:val="TableGrid"/>
        <w:tblW w:type="auto" w:w="0"/>
        <w:jc w:val="center"/>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SOP-HCM-011</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Contingent Workers – Contingent Workforce Management</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HR Operations / Procurement</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SOP-HCM-011</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color w:val="111827"/>
          <w:sz w:val="22"/>
        </w:rPr>
        <w:t>This SOP defines the process for adding, managing, and offboarding Contingent Workers (contractors, consultants, temporary agency workers) in Oracle HCM Fusion. Contingent workers require an Oracle HCM record for system access, compliance, and workforce visibility, but are not on the organisation's payroll.</w:t>
      </w:r>
    </w:p>
    <w:p>
      <w:pPr>
        <w:pStyle w:val="Heading2"/>
      </w:pPr>
      <w:r>
        <w:t>3. Scope</w:t>
      </w:r>
    </w:p>
    <w:p>
      <w:pPr>
        <w:pStyle w:val="ListBullet"/>
        <w:spacing w:after="60"/>
        <w:ind w:left="340"/>
      </w:pPr>
      <w:r>
        <w:rPr>
          <w:rFonts w:ascii="Calibri" w:hAnsi="Calibri"/>
          <w:sz w:val="22"/>
        </w:rPr>
        <w:t>All contingent worker types: contractors, consultants, temporary agency workers.</w:t>
      </w:r>
    </w:p>
    <w:p>
      <w:pPr>
        <w:pStyle w:val="ListBullet"/>
        <w:spacing w:after="60"/>
        <w:ind w:left="340"/>
      </w:pPr>
      <w:r>
        <w:rPr>
          <w:rFonts w:ascii="Calibri" w:hAnsi="Calibri"/>
          <w:sz w:val="22"/>
        </w:rPr>
        <w:t>Addition, extension, and termination of contingent worker engagements.</w:t>
      </w:r>
    </w:p>
    <w:p>
      <w:pPr>
        <w:pStyle w:val="ListBullet"/>
        <w:spacing w:after="60"/>
        <w:ind w:left="340"/>
      </w:pPr>
      <w:r>
        <w:rPr>
          <w:rFonts w:ascii="Calibri" w:hAnsi="Calibri"/>
          <w:sz w:val="22"/>
        </w:rPr>
        <w:t>HR Specialists and Procurement teams responsible for contingent workforce management.</w:t>
      </w:r>
    </w:p>
    <w:p>
      <w:pPr>
        <w:shd w:val="clear" w:color="auto" w:fill="FEF3C7"/>
        <w:spacing w:before="80" w:after="160"/>
      </w:pPr>
      <w:r>
        <w:rPr>
          <w:rFonts w:ascii="Calibri" w:hAnsi="Calibri"/>
          <w:b/>
          <w:color w:val="92400E"/>
          <w:sz w:val="20"/>
        </w:rPr>
        <w:t xml:space="preserve">📌 Note:  </w:t>
      </w:r>
      <w:r>
        <w:rPr>
          <w:rFonts w:ascii="Calibri" w:hAnsi="Calibri"/>
          <w:color w:val="111827"/>
          <w:sz w:val="20"/>
        </w:rPr>
        <w:t>Contingent Workers are NOT on the organisation payroll. They are paid via supplier invoices. Payroll team is NOT involved in compensation processing for contingent workers.</w:t>
      </w:r>
    </w:p>
    <w:p>
      <w:pPr>
        <w:pStyle w:val="Heading2"/>
      </w:pPr>
      <w:r>
        <w:t>4. Pre-Conditions &amp; Prerequisites</w:t>
      </w:r>
    </w:p>
    <w:p>
      <w:pPr>
        <w:pStyle w:val="ListBullet"/>
        <w:spacing w:after="60"/>
        <w:ind w:left="340"/>
      </w:pPr>
      <w:r>
        <w:rPr>
          <w:rFonts w:ascii="Calibri" w:hAnsi="Calibri"/>
          <w:sz w:val="22"/>
        </w:rPr>
        <w:t>Purchase Order (PO) or Supplier Contract approved by Procurement and Finance.</w:t>
      </w:r>
    </w:p>
    <w:p>
      <w:pPr>
        <w:pStyle w:val="ListBullet"/>
        <w:spacing w:after="60"/>
        <w:ind w:left="340"/>
      </w:pPr>
      <w:r>
        <w:rPr>
          <w:rFonts w:ascii="Calibri" w:hAnsi="Calibri"/>
          <w:sz w:val="22"/>
        </w:rPr>
        <w:t>Rate card, engagement period, and scope of work confirmed.</w:t>
      </w:r>
    </w:p>
    <w:p>
      <w:pPr>
        <w:pStyle w:val="ListBullet"/>
        <w:spacing w:after="60"/>
        <w:ind w:left="340"/>
      </w:pPr>
      <w:r>
        <w:rPr>
          <w:rFonts w:ascii="Calibri" w:hAnsi="Calibri"/>
          <w:sz w:val="22"/>
        </w:rPr>
        <w:t>Supplier (agency/company) exists in Oracle Procurement / VMS system.</w:t>
      </w:r>
    </w:p>
    <w:p>
      <w:pPr>
        <w:pStyle w:val="ListBullet"/>
        <w:spacing w:after="60"/>
        <w:ind w:left="340"/>
      </w:pPr>
      <w:r>
        <w:rPr>
          <w:rFonts w:ascii="Calibri" w:hAnsi="Calibri"/>
          <w:sz w:val="22"/>
        </w:rPr>
        <w:t>Required IT access type and level confirmed.</w:t>
      </w:r>
    </w:p>
    <w:p>
      <w:pPr>
        <w:pStyle w:val="Heading2"/>
      </w:pPr>
      <w:r>
        <w:t>5. Roles &amp; Responsibilities</w:t>
      </w:r>
    </w:p>
    <w:tbl>
      <w:tblPr>
        <w:tblStyle w:val="TableGrid"/>
        <w:tblW w:type="auto" w:w="0"/>
        <w:jc w:val="left"/>
        <w:tblLook w:firstColumn="1" w:firstRow="1" w:lastColumn="0" w:lastRow="0" w:noHBand="0" w:noVBand="1" w:val="04A0"/>
      </w:tblPr>
      <w:tblGrid>
        <w:gridCol w:w="3009"/>
        <w:gridCol w:w="3009"/>
        <w:gridCol w:w="3009"/>
      </w:tblGrid>
      <w:tr>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 / Persona</w:t>
            </w:r>
          </w:p>
        </w:tc>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 Level</w:t>
            </w:r>
          </w:p>
        </w:tc>
        <w:tc>
          <w:tcPr>
            <w:tcW w:type="dxa" w:w="6009"/>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HR Specialist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Full Edit – Core HR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Create and manage contingent worker record in Oracle HCM.</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Procurement</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PO Approver</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Approve supplier contract and PO. Provide rate and engagement details.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Requesting Manager</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Initiator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Submit contingent worker request with business justification.</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Supplier / Agency</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External</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Provide worker details, contract, and invoicing.</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IT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Access Provisioning</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Provision limited system access as per HR/Procurement instructions.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HRIS Administrator</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System Admin</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Configure supplier and placement records if required.</w:t>
            </w:r>
          </w:p>
        </w:tc>
      </w:tr>
    </w:tbl>
    <w:p/>
    <w:p>
      <w:pPr>
        <w:pStyle w:val="Heading2"/>
      </w:pPr>
      <w:r>
        <w:t>6. Process Steps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80"/>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288"/>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81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 Role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04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Receive approved contingent worker request: name, supplier, engagement type, start date, end date, daily/hourly rate, department, manager, required access.</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Procurement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Email / Procurement system</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Request and PO confirmed.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Navigate: My Client Groups → Person Management → Add Person. Select Worker Type = Contingent Worker.</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Navigator → Add Person → Worker Type: Contingent Worker</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CW transaction opened.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Enter personal information: Name, Date of Birth, Nationality, Contact details.</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Personal Information tab</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Personal data captured.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Enter placement details: Supplier, Start Date, End Date, Department, Manager, Location, Job.</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Assignment / Placement tab</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Placement details recorded.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Attach the supplier contract / PO to Document Records.</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Document Records → Add Document</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Contract on file.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Submit. Approve via Worklist.</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 /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Submit → Approve</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CW record created.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Trigger IT access provisioning with limited access profile.</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IT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IT Access Request – Contingent Worker profile</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Access provisioned.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Extend or terminate engagement: process Extension or Terminate CW action before end date.</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Actions → Extend / Terminate Contingent Worker</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Engagement updated.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On termination: revoke IT access, collect assets, close out supplier contract.</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IT / Procurement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Exit process</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CW offboarded.</w:t>
            </w:r>
          </w:p>
        </w:tc>
      </w:tr>
    </w:tbl>
    <w:p/>
    <w:p>
      <w:pPr>
        <w:pStyle w:val="Heading2"/>
      </w:pPr>
      <w:r>
        <w:t>7. Oracle HCM System Notes</w:t>
      </w:r>
    </w:p>
    <w:p>
      <w:pPr>
        <w:pStyle w:val="ListBullet"/>
        <w:spacing w:after="60"/>
        <w:ind w:left="340"/>
      </w:pPr>
      <w:r>
        <w:rPr>
          <w:rFonts w:ascii="Calibri" w:hAnsi="Calibri"/>
          <w:sz w:val="22"/>
        </w:rPr>
        <w:t>Contingent Workers appear in Contingent Worker reports but are NOT included in standard employee headcount or payroll.</w:t>
      </w:r>
    </w:p>
    <w:p>
      <w:pPr>
        <w:pStyle w:val="ListBullet"/>
        <w:spacing w:after="60"/>
        <w:ind w:left="340"/>
      </w:pPr>
      <w:r>
        <w:rPr>
          <w:rFonts w:ascii="Calibri" w:hAnsi="Calibri"/>
          <w:sz w:val="22"/>
        </w:rPr>
        <w:t>Rate and billing are managed outside Oracle HCM — in the Procurement/VMS system. Oracle HCM stores only workforce data.</w:t>
      </w:r>
    </w:p>
    <w:p>
      <w:pPr>
        <w:pStyle w:val="ListBullet"/>
        <w:spacing w:after="60"/>
        <w:ind w:left="340"/>
      </w:pPr>
      <w:r>
        <w:rPr>
          <w:rFonts w:ascii="Calibri" w:hAnsi="Calibri"/>
          <w:sz w:val="22"/>
        </w:rPr>
        <w:t>CW engagement end dates must be actively monitored — Oracle HCM does NOT auto-terminate CWs on end date without workflow configuration.</w:t>
      </w:r>
    </w:p>
    <w:p>
      <w:pPr>
        <w:shd w:val="clear" w:color="auto" w:fill="FEE2E2"/>
        <w:spacing w:before="80" w:after="160"/>
      </w:pPr>
      <w:r>
        <w:rPr>
          <w:rFonts w:ascii="Calibri" w:hAnsi="Calibri"/>
          <w:b/>
          <w:color w:val="991B1B"/>
          <w:sz w:val="20"/>
        </w:rPr>
        <w:t xml:space="preserve">⚠ Warning:  </w:t>
      </w:r>
      <w:r>
        <w:rPr>
          <w:rFonts w:ascii="Calibri" w:hAnsi="Calibri"/>
          <w:color w:val="111827"/>
          <w:sz w:val="20"/>
        </w:rPr>
        <w:t>Regularly audit active contingent workers against open POs. Expired POs with active CW records create compliance risk.</w:t>
      </w:r>
    </w:p>
    <w:p>
      <w:pPr>
        <w:pStyle w:val="Heading2"/>
      </w:pPr>
      <w:r>
        <w:t>8. Related Documents</w:t>
      </w:r>
    </w:p>
    <w:p>
      <w:pPr>
        <w:pStyle w:val="ListBullet"/>
        <w:spacing w:after="60"/>
        <w:ind w:left="340"/>
      </w:pPr>
      <w:r>
        <w:rPr>
          <w:rFonts w:ascii="Calibri" w:hAnsi="Calibri"/>
          <w:sz w:val="22"/>
        </w:rPr>
        <w:t>SOP-HCM-010: Non-Worker</w:t>
      </w:r>
    </w:p>
    <w:p>
      <w:pPr>
        <w:pStyle w:val="ListBullet"/>
        <w:spacing w:after="60"/>
        <w:ind w:left="340"/>
      </w:pPr>
      <w:r>
        <w:rPr>
          <w:rFonts w:ascii="Calibri" w:hAnsi="Calibri"/>
          <w:sz w:val="22"/>
        </w:rPr>
        <w:t>SOP-HCM-001: Hire Employee</w:t>
      </w:r>
    </w:p>
    <w:p>
      <w:pPr>
        <w:pStyle w:val="ListBullet"/>
        <w:spacing w:after="60"/>
        <w:ind w:left="340"/>
      </w:pPr>
      <w:r>
        <w:rPr>
          <w:rFonts w:ascii="Calibri" w:hAnsi="Calibri"/>
          <w:sz w:val="22"/>
        </w:rPr>
        <w:t>Contingent Workforce Policy</w:t>
      </w:r>
    </w:p>
    <w:p>
      <w:pPr>
        <w:pStyle w:val="ListBullet"/>
        <w:spacing w:after="60"/>
        <w:ind w:left="340"/>
      </w:pPr>
      <w:r>
        <w:rPr>
          <w:rFonts w:ascii="Calibri" w:hAnsi="Calibri"/>
          <w:sz w:val="22"/>
        </w:rPr>
        <w:t>Oracle HCM User Guide: Contingent Workers – HR Specialist</w:t>
      </w:r>
    </w:p>
    <w:p>
      <w:pPr>
        <w:pStyle w:val="Heading2"/>
      </w:pPr>
      <w:r>
        <w:t>9. 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 of Change</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A5F09A2-20FD-40B0-BC80-E4BA22C9C75F}"/>
</file>

<file path=customXml/itemProps3.xml><?xml version="1.0" encoding="utf-8"?>
<ds:datastoreItem xmlns:ds="http://schemas.openxmlformats.org/officeDocument/2006/customXml" ds:itemID="{3F55759D-4B2E-4B1F-A01C-864CD3A62DBB}"/>
</file>

<file path=customXml/itemProps4.xml><?xml version="1.0" encoding="utf-8"?>
<ds:datastoreItem xmlns:ds="http://schemas.openxmlformats.org/officeDocument/2006/customXml" ds:itemID="{F81DBC95-56CC-4AE4-B54F-60681833FA8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