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FEF3C7"/>
      </w:pPr>
      <w:r>
        <w:rPr>
          <w:rFonts w:ascii="Calibri" w:hAnsi="Calibri"/>
          <w:b/>
          <w:color w:val="2D2B55"/>
          <w:sz w:val="20"/>
        </w:rPr>
        <w:t xml:space="preserve">  ROLE: EMPLOYEE /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SOP-HCM-EE-005</w:t>
      </w:r>
    </w:p>
    <w:p>
      <w:pPr>
        <w:jc w:val="center"/>
      </w:pPr>
      <w:r>
        <w:rPr>
          <w:rFonts w:ascii="Calibri" w:hAnsi="Calibri"/>
          <w:b/>
          <w:color w:val="2D2B55"/>
          <w:sz w:val="48"/>
        </w:rPr>
        <w:t>Seniority Dates</w:t>
      </w:r>
    </w:p>
    <w:p>
      <w:pPr>
        <w:jc w:val="center"/>
      </w:pPr>
      <w:r>
        <w:rPr>
          <w:rFonts w:ascii="Calibri" w:hAnsi="Calibri"/>
          <w:color w:val="6B7280"/>
          <w:sz w:val="24"/>
        </w:rPr>
        <w:t>Employee Self-Service | Oracle HCM Fusion Cloud</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SOP-HCM-EE-005</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BEAFE"/>
          </w:tcPr>
          <w:p>
            <w:r>
              <w:rPr>
                <w:b/>
                <w:sz w:val="20"/>
              </w:rPr>
              <w:t>SOP Reference</w:t>
            </w:r>
          </w:p>
        </w:tc>
        <w:tc>
          <w:tcPr>
            <w:tcW w:type="dxa" w:w="4513"/>
            <w:shd w:val="clear" w:color="auto" w:fill="F8F7FF"/>
          </w:tcPr>
          <w:p>
            <w:r>
              <w:rPr>
                <w:sz w:val="20"/>
              </w:rPr>
              <w:t>SOP-HCM-EE-005</w:t>
            </w:r>
          </w:p>
        </w:tc>
      </w:tr>
      <w:tr>
        <w:tc>
          <w:tcPr>
            <w:tcW w:type="dxa" w:w="4513"/>
            <w:shd w:val="clear" w:color="auto" w:fill="DBEAFE"/>
          </w:tcPr>
          <w:p>
            <w:r>
              <w:rPr>
                <w:b/>
                <w:sz w:val="20"/>
              </w:rPr>
              <w:t>Title</w:t>
            </w:r>
          </w:p>
        </w:tc>
        <w:tc>
          <w:tcPr>
            <w:tcW w:type="dxa" w:w="4513"/>
            <w:shd w:val="clear" w:color="auto" w:fill="FFFFFF"/>
          </w:tcPr>
          <w:p>
            <w:r>
              <w:rPr>
                <w:sz w:val="20"/>
              </w:rPr>
              <w:t>Seniority Dates – Employee &amp; HR Specialist</w:t>
            </w:r>
          </w:p>
        </w:tc>
      </w:tr>
      <w:tr>
        <w:tc>
          <w:tcPr>
            <w:tcW w:type="dxa" w:w="4513"/>
            <w:shd w:val="clear" w:color="auto" w:fill="DBEAFE"/>
          </w:tcPr>
          <w:p>
            <w:r>
              <w:rPr>
                <w:b/>
                <w:sz w:val="20"/>
              </w:rPr>
              <w:t>Version</w:t>
            </w:r>
          </w:p>
        </w:tc>
        <w:tc>
          <w:tcPr>
            <w:tcW w:type="dxa" w:w="4513"/>
            <w:shd w:val="clear" w:color="auto" w:fill="F8F7FF"/>
          </w:tcPr>
          <w:p>
            <w:r>
              <w:rPr>
                <w:sz w:val="20"/>
              </w:rPr>
              <w:t>1.0</w:t>
            </w:r>
          </w:p>
        </w:tc>
      </w:tr>
      <w:tr>
        <w:tc>
          <w:tcPr>
            <w:tcW w:type="dxa" w:w="4513"/>
            <w:shd w:val="clear" w:color="auto" w:fill="DBEAFE"/>
          </w:tcPr>
          <w:p>
            <w:r>
              <w:rPr>
                <w:b/>
                <w:sz w:val="20"/>
              </w:rPr>
              <w:t>Effective Date</w:t>
            </w:r>
          </w:p>
        </w:tc>
        <w:tc>
          <w:tcPr>
            <w:tcW w:type="dxa" w:w="4513"/>
            <w:shd w:val="clear" w:color="auto" w:fill="FFFFFF"/>
          </w:tcPr>
          <w:p>
            <w:r>
              <w:rPr>
                <w:sz w:val="20"/>
              </w:rPr>
              <w:t>April 2026</w:t>
            </w:r>
          </w:p>
        </w:tc>
      </w:tr>
      <w:tr>
        <w:tc>
          <w:tcPr>
            <w:tcW w:type="dxa" w:w="4513"/>
            <w:shd w:val="clear" w:color="auto" w:fill="DBEAFE"/>
          </w:tcPr>
          <w:p>
            <w:r>
              <w:rPr>
                <w:b/>
                <w:sz w:val="20"/>
              </w:rPr>
              <w:t>Process Owner</w:t>
            </w:r>
          </w:p>
        </w:tc>
        <w:tc>
          <w:tcPr>
            <w:tcW w:type="dxa" w:w="4513"/>
            <w:shd w:val="clear" w:color="auto" w:fill="F8F7FF"/>
          </w:tcPr>
          <w:p>
            <w:r>
              <w:rPr>
                <w:sz w:val="20"/>
              </w:rPr>
              <w:t>HR Operations</w:t>
            </w:r>
          </w:p>
        </w:tc>
      </w:tr>
      <w:tr>
        <w:tc>
          <w:tcPr>
            <w:tcW w:type="dxa" w:w="4513"/>
            <w:shd w:val="clear" w:color="auto" w:fill="DBEAFE"/>
          </w:tcPr>
          <w:p>
            <w:r>
              <w:rPr>
                <w:b/>
                <w:sz w:val="20"/>
              </w:rPr>
              <w:t>Approving Authority</w:t>
            </w:r>
          </w:p>
        </w:tc>
        <w:tc>
          <w:tcPr>
            <w:tcW w:type="dxa" w:w="4513"/>
            <w:shd w:val="clear" w:color="auto" w:fill="FFFFFF"/>
          </w:tcPr>
          <w:p>
            <w:r>
              <w:rPr>
                <w:sz w:val="20"/>
              </w:rPr>
              <w:t>CHRO / HR Director</w:t>
            </w:r>
          </w:p>
        </w:tc>
      </w:tr>
      <w:tr>
        <w:tc>
          <w:tcPr>
            <w:tcW w:type="dxa" w:w="4513"/>
            <w:shd w:val="clear" w:color="auto" w:fill="DBEAFE"/>
          </w:tcPr>
          <w:p>
            <w:r>
              <w:rPr>
                <w:b/>
                <w:sz w:val="20"/>
              </w:rPr>
              <w:t>Next Review Date</w:t>
            </w:r>
          </w:p>
        </w:tc>
        <w:tc>
          <w:tcPr>
            <w:tcW w:type="dxa" w:w="4513"/>
            <w:shd w:val="clear" w:color="auto" w:fill="F8F7FF"/>
          </w:tcPr>
          <w:p>
            <w:r>
              <w:rPr>
                <w:sz w:val="20"/>
              </w:rPr>
              <w:t>April 2027</w:t>
            </w:r>
          </w:p>
        </w:tc>
      </w:tr>
      <w:tr>
        <w:tc>
          <w:tcPr>
            <w:tcW w:type="dxa" w:w="4513"/>
            <w:shd w:val="clear" w:color="auto" w:fill="DBEAFE"/>
          </w:tcPr>
          <w:p>
            <w:r>
              <w:rPr>
                <w:b/>
                <w:sz w:val="20"/>
              </w:rPr>
              <w:t>Classification</w:t>
            </w:r>
          </w:p>
        </w:tc>
        <w:tc>
          <w:tcPr>
            <w:tcW w:type="dxa" w:w="4513"/>
            <w:shd w:val="clear" w:color="auto" w:fill="FFFFFF"/>
          </w:tcPr>
          <w:p>
            <w:r>
              <w:rPr>
                <w:sz w:val="20"/>
              </w:rPr>
              <w:t>Confidential</w:t>
            </w:r>
          </w:p>
        </w:tc>
      </w:tr>
      <w:tr>
        <w:tc>
          <w:tcPr>
            <w:tcW w:type="dxa" w:w="4513"/>
            <w:shd w:val="clear" w:color="auto" w:fill="DBEAFE"/>
          </w:tcPr>
          <w:p>
            <w:r>
              <w:rPr>
                <w:b/>
                <w:sz w:val="20"/>
              </w:rPr>
              <w:t>System</w:t>
            </w:r>
          </w:p>
        </w:tc>
        <w:tc>
          <w:tcPr>
            <w:tcW w:type="dxa" w:w="4513"/>
            <w:shd w:val="clear" w:color="auto" w:fill="F8F7FF"/>
          </w:tcPr>
          <w:p>
            <w:r>
              <w:rPr>
                <w:sz w:val="20"/>
              </w:rPr>
              <w:t>Oracle HCM Fusion Cloud</w:t>
            </w:r>
          </w:p>
        </w:tc>
      </w:tr>
      <w:tr>
        <w:tc>
          <w:tcPr>
            <w:tcW w:type="dxa" w:w="4513"/>
            <w:shd w:val="clear" w:color="auto" w:fill="DBEAFE"/>
          </w:tcPr>
          <w:p>
            <w:r>
              <w:rPr>
                <w:b/>
                <w:sz w:val="20"/>
              </w:rPr>
              <w:t>Status</w:t>
            </w:r>
          </w:p>
        </w:tc>
        <w:tc>
          <w:tcPr>
            <w:tcW w:type="dxa" w:w="4513"/>
            <w:shd w:val="clear" w:color="auto" w:fill="FFFFFF"/>
          </w:tcPr>
          <w:p>
            <w:r>
              <w:rPr>
                <w:sz w:val="20"/>
              </w:rPr>
              <w:t>Active</w:t>
            </w:r>
          </w:p>
        </w:tc>
      </w:tr>
    </w:tbl>
    <w:p/>
    <w:p>
      <w:pPr>
        <w:pStyle w:val="Heading2"/>
      </w:pPr>
      <w:r>
        <w:t>2. Purpose</w:t>
      </w:r>
    </w:p>
    <w:p>
      <w:pPr>
        <w:spacing w:after="80"/>
      </w:pPr>
      <w:r>
        <w:rPr>
          <w:rFonts w:ascii="Calibri" w:hAnsi="Calibri"/>
          <w:sz w:val="22"/>
        </w:rPr>
        <w:t>This SOP defines how employees view their Seniority Dates in Oracle HCM, and how HR Specialists review, verify, and correct seniority date records. Seniority Dates are critical for EOSB (End of Service Benefit) calculations, leave accrual, service-linked benefits, and promotion eligibility across DMG entities.</w:t>
      </w:r>
    </w:p>
    <w:p>
      <w:pPr>
        <w:pStyle w:val="Heading2"/>
      </w:pPr>
      <w:r>
        <w:t>3. Overview</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Seniority Dates are maintained under Me → Seniority Dates. For employees, this is a read-only view. HR Specialists can view and adjust seniority dates during lifecycle events (Hire, Transfer, Promote) or as standalone corrections. Seniority Dates drive EOSB and leave entitlement calculations. Process map: PM_EE_06.</w:t>
      </w:r>
    </w:p>
    <w:p>
      <w:pPr>
        <w:pStyle w:val="Heading2"/>
      </w:pPr>
      <w:r>
        <w:t>4. Scope</w:t>
      </w:r>
    </w:p>
    <w:p>
      <w:pPr>
        <w:pStyle w:val="ListBullet"/>
        <w:spacing w:after="60"/>
      </w:pPr>
      <w:r>
        <w:rPr>
          <w:rFonts w:ascii="Calibri" w:hAnsi="Calibri"/>
          <w:sz w:val="22"/>
        </w:rPr>
        <w:t>Enterprise Seniority Date: the employee's overall hire date in the DMG enterprise.</w:t>
      </w:r>
    </w:p>
    <w:p>
      <w:pPr>
        <w:pStyle w:val="ListBullet"/>
        <w:spacing w:after="60"/>
      </w:pPr>
      <w:r>
        <w:rPr>
          <w:rFonts w:ascii="Calibri" w:hAnsi="Calibri"/>
          <w:sz w:val="22"/>
        </w:rPr>
        <w:t>Legal Employer Seniority Date: the date with the current legal entity (relevant for inter-entity transfers).</w:t>
      </w:r>
    </w:p>
    <w:p>
      <w:pPr>
        <w:pStyle w:val="ListBullet"/>
        <w:spacing w:after="60"/>
      </w:pPr>
      <w:r>
        <w:rPr>
          <w:rFonts w:ascii="Calibri" w:hAnsi="Calibri"/>
          <w:sz w:val="22"/>
        </w:rPr>
        <w:t>Length of Service: system-calculated from Enterprise Seniority Date.</w:t>
      </w:r>
    </w:p>
    <w:p>
      <w:pPr>
        <w:pStyle w:val="ListBullet"/>
        <w:spacing w:after="60"/>
      </w:pPr>
      <w:r>
        <w:rPr>
          <w:rFonts w:ascii="Calibri" w:hAnsi="Calibri"/>
          <w:sz w:val="22"/>
        </w:rPr>
        <w:t>Employee view is read-only. HR Specialist corrections are covered in this SOP.</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View Only</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View own seniority dates and length of service. Raise query to HR if incorrect.</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Reviewer / Corrector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Review and correct seniority dates during lifecycle events and as standalone corrections.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Payroll Team</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Downstream Consumer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Use seniority dates for EOSB calculations at termination.</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Escalation</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Approve seniority date corrections that have financial impact (EOSB, leave balance).</w:t>
            </w:r>
          </w:p>
        </w:tc>
      </w:tr>
    </w:tbl>
    <w:p/>
    <w:p>
      <w:pPr>
        <w:pStyle w:val="Heading2"/>
      </w:pPr>
      <w:r>
        <w:t>5. Process Flow Summary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0"/>
              </w:rPr>
              <w:t>Phase</w:t>
            </w:r>
          </w:p>
        </w:tc>
        <w:tc>
          <w:tcPr>
            <w:tcW w:type="dxa" w:w="2256"/>
            <w:shd w:val="clear" w:color="auto" w:fill="2D2B55"/>
          </w:tcPr>
          <w:p>
            <w:r>
              <w:rPr>
                <w:b/>
                <w:color w:val="FFFFFF"/>
                <w:sz w:val="20"/>
              </w:rPr>
              <w:t>Key Steps</w:t>
            </w:r>
          </w:p>
        </w:tc>
        <w:tc>
          <w:tcPr>
            <w:tcW w:type="dxa" w:w="2256"/>
            <w:shd w:val="clear" w:color="auto" w:fill="2D2B55"/>
          </w:tcPr>
          <w:p>
            <w:r>
              <w:rPr>
                <w:b/>
                <w:color w:val="FFFFFF"/>
                <w:sz w:val="20"/>
              </w:rPr>
              <w:t>Decision Points</w:t>
            </w:r>
          </w:p>
        </w:tc>
        <w:tc>
          <w:tcPr>
            <w:tcW w:type="dxa" w:w="2256"/>
            <w:shd w:val="clear" w:color="auto" w:fill="2D2B55"/>
          </w:tcPr>
          <w:p>
            <w:r>
              <w:rPr>
                <w:b/>
                <w:color w:val="FFFFFF"/>
                <w:sz w:val="20"/>
              </w:rPr>
              <w:t>Output</w:t>
            </w:r>
          </w:p>
        </w:tc>
      </w:tr>
      <w:tr>
        <w:tc>
          <w:tcPr>
            <w:tcW w:type="dxa" w:w="2256"/>
            <w:shd w:val="clear" w:color="auto" w:fill="F8F7FF"/>
          </w:tcPr>
          <w:p>
            <w:r>
              <w:rPr>
                <w:sz w:val="20"/>
              </w:rPr>
              <w:t>Navigate</w:t>
            </w:r>
          </w:p>
        </w:tc>
        <w:tc>
          <w:tcPr>
            <w:tcW w:type="dxa" w:w="2256"/>
            <w:shd w:val="clear" w:color="auto" w:fill="F8F7FF"/>
          </w:tcPr>
          <w:p>
            <w:r>
              <w:rPr>
                <w:sz w:val="20"/>
              </w:rPr>
              <w:t>Me → Seniority Dates (Employee) / HR Specialist via Person Management</w:t>
            </w:r>
          </w:p>
        </w:tc>
        <w:tc>
          <w:tcPr>
            <w:tcW w:type="dxa" w:w="2256"/>
            <w:shd w:val="clear" w:color="auto" w:fill="F8F7FF"/>
          </w:tcPr>
          <w:p>
            <w:r>
              <w:rPr>
                <w:sz w:val="20"/>
              </w:rPr>
              <w:t>—</w:t>
            </w:r>
          </w:p>
        </w:tc>
        <w:tc>
          <w:tcPr>
            <w:tcW w:type="dxa" w:w="2256"/>
            <w:shd w:val="clear" w:color="auto" w:fill="F8F7FF"/>
          </w:tcPr>
          <w:p>
            <w:r>
              <w:rPr>
                <w:sz w:val="20"/>
              </w:rPr>
              <w:t>Seniority dates displayed</w:t>
            </w:r>
          </w:p>
        </w:tc>
      </w:tr>
      <w:tr>
        <w:tc>
          <w:tcPr>
            <w:tcW w:type="dxa" w:w="2256"/>
            <w:shd w:val="clear" w:color="auto" w:fill="FFFFFF"/>
          </w:tcPr>
          <w:p>
            <w:r>
              <w:rPr>
                <w:sz w:val="20"/>
              </w:rPr>
              <w:t>Review</w:t>
            </w:r>
          </w:p>
        </w:tc>
        <w:tc>
          <w:tcPr>
            <w:tcW w:type="dxa" w:w="2256"/>
            <w:shd w:val="clear" w:color="auto" w:fill="FFFFFF"/>
          </w:tcPr>
          <w:p>
            <w:r>
              <w:rPr>
                <w:sz w:val="20"/>
              </w:rPr>
              <w:t>Review Enterprise Seniority Date, Legal Employer Date, Length of Service</w:t>
            </w:r>
          </w:p>
        </w:tc>
        <w:tc>
          <w:tcPr>
            <w:tcW w:type="dxa" w:w="2256"/>
            <w:shd w:val="clear" w:color="auto" w:fill="FFFFFF"/>
          </w:tcPr>
          <w:p>
            <w:r>
              <w:rPr>
                <w:sz w:val="20"/>
              </w:rPr>
              <w:t>Dates correct?</w:t>
            </w:r>
          </w:p>
        </w:tc>
        <w:tc>
          <w:tcPr>
            <w:tcW w:type="dxa" w:w="2256"/>
            <w:shd w:val="clear" w:color="auto" w:fill="FFFFFF"/>
          </w:tcPr>
          <w:p>
            <w:r>
              <w:rPr>
                <w:sz w:val="20"/>
              </w:rPr>
              <w:t>Discrepancy identified or confirmed</w:t>
            </w:r>
          </w:p>
        </w:tc>
      </w:tr>
      <w:tr>
        <w:tc>
          <w:tcPr>
            <w:tcW w:type="dxa" w:w="2256"/>
            <w:shd w:val="clear" w:color="auto" w:fill="F8F7FF"/>
          </w:tcPr>
          <w:p>
            <w:r>
              <w:rPr>
                <w:sz w:val="20"/>
              </w:rPr>
              <w:t>Raise Query</w:t>
            </w:r>
          </w:p>
        </w:tc>
        <w:tc>
          <w:tcPr>
            <w:tcW w:type="dxa" w:w="2256"/>
            <w:shd w:val="clear" w:color="auto" w:fill="F8F7FF"/>
          </w:tcPr>
          <w:p>
            <w:r>
              <w:rPr>
                <w:sz w:val="20"/>
              </w:rPr>
              <w:t>Employee raises discrepancy to HR Specialist</w:t>
            </w:r>
          </w:p>
        </w:tc>
        <w:tc>
          <w:tcPr>
            <w:tcW w:type="dxa" w:w="2256"/>
            <w:shd w:val="clear" w:color="auto" w:fill="F8F7FF"/>
          </w:tcPr>
          <w:p>
            <w:r>
              <w:rPr>
                <w:sz w:val="20"/>
              </w:rPr>
              <w:t>—</w:t>
            </w:r>
          </w:p>
        </w:tc>
        <w:tc>
          <w:tcPr>
            <w:tcW w:type="dxa" w:w="2256"/>
            <w:shd w:val="clear" w:color="auto" w:fill="F8F7FF"/>
          </w:tcPr>
          <w:p>
            <w:r>
              <w:rPr>
                <w:sz w:val="20"/>
              </w:rPr>
              <w:t>HR notified</w:t>
            </w:r>
          </w:p>
        </w:tc>
      </w:tr>
      <w:tr>
        <w:tc>
          <w:tcPr>
            <w:tcW w:type="dxa" w:w="2256"/>
            <w:shd w:val="clear" w:color="auto" w:fill="FFFFFF"/>
          </w:tcPr>
          <w:p>
            <w:r>
              <w:rPr>
                <w:sz w:val="20"/>
              </w:rPr>
              <w:t>Correct</w:t>
            </w:r>
          </w:p>
        </w:tc>
        <w:tc>
          <w:tcPr>
            <w:tcW w:type="dxa" w:w="2256"/>
            <w:shd w:val="clear" w:color="auto" w:fill="FFFFFF"/>
          </w:tcPr>
          <w:p>
            <w:r>
              <w:rPr>
                <w:sz w:val="20"/>
              </w:rPr>
              <w:t>HR Specialist corrects via Promote/Transfer/Change Assignment action with seniority date update</w:t>
            </w:r>
          </w:p>
        </w:tc>
        <w:tc>
          <w:tcPr>
            <w:tcW w:type="dxa" w:w="2256"/>
            <w:shd w:val="clear" w:color="auto" w:fill="FFFFFF"/>
          </w:tcPr>
          <w:p>
            <w:r>
              <w:rPr>
                <w:sz w:val="20"/>
              </w:rPr>
              <w:t>HRBP approval required?</w:t>
            </w:r>
          </w:p>
        </w:tc>
        <w:tc>
          <w:tcPr>
            <w:tcW w:type="dxa" w:w="2256"/>
            <w:shd w:val="clear" w:color="auto" w:fill="FFFFFF"/>
          </w:tcPr>
          <w:p>
            <w:r>
              <w:rPr>
                <w:sz w:val="20"/>
              </w:rPr>
              <w:t>Seniority date corrected with audit trail</w:t>
            </w:r>
          </w:p>
        </w:tc>
      </w:tr>
    </w:tbl>
    <w:p/>
    <w:p>
      <w:pPr>
        <w:pStyle w:val="Heading2"/>
      </w:pPr>
      <w:r>
        <w:t>6.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Employee: Me → Seniority Dates (read-only view)</w:t>
        <w:br/>
        <w:t>HR Specialist: My Client Groups → Person Management → Employee → Seniority Dates</w:t>
        <w:br/>
        <w:t>OR: During any lifecycle action (Promote/Transfer/Hire) → Seniority Dates section</w:t>
      </w:r>
    </w:p>
    <w:p>
      <w:pPr>
        <w:pStyle w:val="Heading2"/>
      </w:pPr>
      <w:r>
        <w:t>7. Step-by-Step Process</w:t>
      </w:r>
    </w:p>
    <w:p>
      <w:pPr>
        <w:pStyle w:val="Heading3"/>
      </w:pPr>
      <w:r>
        <w:t>7A. Employee — Viewing Seniority Dates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Me from the navigation bar.</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Me icon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Me menu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Seniority Dates from the menu.</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Seniority Dates link</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Seniority Dates page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Enterprise Seniority Date (original hire date in DMG group), Legal Employer Seniority Date (date in current legal entity), Length of Service (years and months).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Seniority Dates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Dates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If any date appears incorrect (e.g., does not reflect actual start date or inter-entity transfer), note the discrepancy and contact HR Specialist.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Discrepancy raised to HR.</w:t>
            </w:r>
          </w:p>
        </w:tc>
      </w:tr>
    </w:tbl>
    <w:p/>
    <w:p>
      <w:pPr>
        <w:pStyle w:val="Heading3"/>
      </w:pPr>
      <w:r>
        <w:t>7B. HR Specialist — Correcting Seniority Dates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Receive discrepancy report from employee or identify issue during audit.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 HR request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Discrepancy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Navigate to My Client Groups → Person Management → search employee → Seniority Dates section.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Person Management → Seniority Dates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Current seniority dates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compare Oracle seniority date vs. HR contract/hire document. Identify the correct date.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Seniority Dates + HR records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Correct date identified.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To correct: navigate to the relevant lifecycle action (Hire / Transfer / Promote) and update the Seniority Dates section, OR use Actions → Update Seniority Dates (if available).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Lifecycle action → Seniority Dates section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Correction form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the correct Enterprise Seniority Date and/or Legal Employer Seniority Date.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Seniority date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Correct dates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Obtain HRBP written approval if the change affects EOSB calculation (service &gt; 1 year change).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 HRBP</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HRBP approval email</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Approval on file.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Save / Submit. Audit trail records the correction.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Save / Submit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Seniority dates corrected. Audit trail created.</w:t>
            </w:r>
          </w:p>
        </w:tc>
      </w:tr>
    </w:tbl>
    <w:p/>
    <w:p>
      <w:pPr>
        <w:pStyle w:val="Heading2"/>
      </w:pPr>
      <w:r>
        <w:t>8. Inputs &amp; Outputs</w:t>
      </w:r>
    </w:p>
    <w:p>
      <w:pPr>
        <w:pStyle w:val="Heading3"/>
      </w:pPr>
      <w:r>
        <w:t>8.1 Inputs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5B5BD6"/>
          </w:tcPr>
          <w:p>
            <w:r>
              <w:rPr>
                <w:b/>
                <w:color w:val="FFFFFF"/>
                <w:sz w:val="20"/>
              </w:rPr>
              <w:t>Input</w:t>
            </w:r>
          </w:p>
        </w:tc>
        <w:tc>
          <w:tcPr>
            <w:tcW w:type="dxa" w:w="3009"/>
            <w:shd w:val="clear" w:color="auto" w:fill="5B5BD6"/>
          </w:tcPr>
          <w:p>
            <w:r>
              <w:rPr>
                <w:b/>
                <w:color w:val="FFFFFF"/>
                <w:sz w:val="20"/>
              </w:rPr>
              <w:t>Source</w:t>
            </w:r>
          </w:p>
        </w:tc>
        <w:tc>
          <w:tcPr>
            <w:tcW w:type="dxa" w:w="3009"/>
            <w:shd w:val="clear" w:color="auto" w:fill="5B5BD6"/>
          </w:tcPr>
          <w:p>
            <w:r>
              <w:rPr>
                <w:b/>
                <w:color w:val="FFFFFF"/>
                <w:sz w:val="20"/>
              </w:rPr>
              <w:t>Description</w:t>
            </w:r>
          </w:p>
        </w:tc>
      </w:tr>
      <w:tr>
        <w:tc>
          <w:tcPr>
            <w:tcW w:type="dxa" w:w="3009"/>
            <w:shd w:val="clear" w:color="auto" w:fill="F8F7FF"/>
          </w:tcPr>
          <w:p>
            <w:r>
              <w:rPr>
                <w:sz w:val="20"/>
              </w:rPr>
              <w:t>Original Hire Date</w:t>
            </w:r>
          </w:p>
        </w:tc>
        <w:tc>
          <w:tcPr>
            <w:tcW w:type="dxa" w:w="3009"/>
            <w:shd w:val="clear" w:color="auto" w:fill="F8F7FF"/>
          </w:tcPr>
          <w:p>
            <w:r>
              <w:rPr>
                <w:sz w:val="20"/>
              </w:rPr>
              <w:t>HR Contract / Oracle HCM</w:t>
            </w:r>
          </w:p>
        </w:tc>
        <w:tc>
          <w:tcPr>
            <w:tcW w:type="dxa" w:w="3009"/>
            <w:shd w:val="clear" w:color="auto" w:fill="F8F7FF"/>
          </w:tcPr>
          <w:p>
            <w:r>
              <w:rPr>
                <w:sz w:val="20"/>
              </w:rPr>
              <w:t>Date used to calculate Enterprise Seniority Date.</w:t>
            </w:r>
          </w:p>
        </w:tc>
      </w:tr>
      <w:tr>
        <w:tc>
          <w:tcPr>
            <w:tcW w:type="dxa" w:w="3009"/>
            <w:shd w:val="clear" w:color="auto" w:fill="FFFFFF"/>
          </w:tcPr>
          <w:p>
            <w:r>
              <w:rPr>
                <w:sz w:val="20"/>
              </w:rPr>
              <w:t>Inter-Entity Transfer Date</w:t>
            </w:r>
          </w:p>
        </w:tc>
        <w:tc>
          <w:tcPr>
            <w:tcW w:type="dxa" w:w="3009"/>
            <w:shd w:val="clear" w:color="auto" w:fill="FFFFFF"/>
          </w:tcPr>
          <w:p>
            <w:r>
              <w:rPr>
                <w:sz w:val="20"/>
              </w:rPr>
              <w:t>Transfer records</w:t>
            </w:r>
          </w:p>
        </w:tc>
        <w:tc>
          <w:tcPr>
            <w:tcW w:type="dxa" w:w="3009"/>
            <w:shd w:val="clear" w:color="auto" w:fill="FFFFFF"/>
          </w:tcPr>
          <w:p>
            <w:r>
              <w:rPr>
                <w:sz w:val="20"/>
              </w:rPr>
              <w:t>Date used for Legal Employer Seniority Date.</w:t>
            </w:r>
          </w:p>
        </w:tc>
      </w:tr>
      <w:tr>
        <w:tc>
          <w:tcPr>
            <w:tcW w:type="dxa" w:w="3009"/>
            <w:shd w:val="clear" w:color="auto" w:fill="F8F7FF"/>
          </w:tcPr>
          <w:p>
            <w:r>
              <w:rPr>
                <w:sz w:val="20"/>
              </w:rPr>
              <w:t>HRBP Approval</w:t>
            </w:r>
          </w:p>
        </w:tc>
        <w:tc>
          <w:tcPr>
            <w:tcW w:type="dxa" w:w="3009"/>
            <w:shd w:val="clear" w:color="auto" w:fill="F8F7FF"/>
          </w:tcPr>
          <w:p>
            <w:r>
              <w:rPr>
                <w:sz w:val="20"/>
              </w:rPr>
              <w:t>Email authorisation</w:t>
            </w:r>
          </w:p>
        </w:tc>
        <w:tc>
          <w:tcPr>
            <w:tcW w:type="dxa" w:w="3009"/>
            <w:shd w:val="clear" w:color="auto" w:fill="F8F7FF"/>
          </w:tcPr>
          <w:p>
            <w:r>
              <w:rPr>
                <w:sz w:val="20"/>
              </w:rPr>
              <w:t>Required for corrections with financial impact &gt; 1 year.</w:t>
            </w:r>
          </w:p>
        </w:tc>
      </w:tr>
    </w:tbl>
    <w:p/>
    <w:p>
      <w:pPr>
        <w:pStyle w:val="Heading3"/>
      </w:pPr>
      <w:r>
        <w:t>8.2 Outputs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F766E"/>
          </w:tcPr>
          <w:p>
            <w:r>
              <w:rPr>
                <w:b/>
                <w:color w:val="FFFFFF"/>
                <w:sz w:val="20"/>
              </w:rPr>
              <w:t>Output</w:t>
            </w:r>
          </w:p>
        </w:tc>
        <w:tc>
          <w:tcPr>
            <w:tcW w:type="dxa" w:w="3009"/>
            <w:shd w:val="clear" w:color="auto" w:fill="0F766E"/>
          </w:tcPr>
          <w:p>
            <w:r>
              <w:rPr>
                <w:b/>
                <w:color w:val="FFFFFF"/>
                <w:sz w:val="20"/>
              </w:rPr>
              <w:t>Destination</w:t>
            </w:r>
          </w:p>
        </w:tc>
        <w:tc>
          <w:tcPr>
            <w:tcW w:type="dxa" w:w="3009"/>
            <w:shd w:val="clear" w:color="auto" w:fill="0F766E"/>
          </w:tcPr>
          <w:p>
            <w:r>
              <w:rPr>
                <w:b/>
                <w:color w:val="FFFFFF"/>
                <w:sz w:val="20"/>
              </w:rPr>
              <w:t>Description</w:t>
            </w:r>
          </w:p>
        </w:tc>
      </w:tr>
      <w:tr>
        <w:tc>
          <w:tcPr>
            <w:tcW w:type="dxa" w:w="3009"/>
            <w:shd w:val="clear" w:color="auto" w:fill="F8F7FF"/>
          </w:tcPr>
          <w:p>
            <w:r>
              <w:rPr>
                <w:sz w:val="20"/>
              </w:rPr>
              <w:t>Corrected Seniority Dates</w:t>
            </w:r>
          </w:p>
        </w:tc>
        <w:tc>
          <w:tcPr>
            <w:tcW w:type="dxa" w:w="3009"/>
            <w:shd w:val="clear" w:color="auto" w:fill="F8F7FF"/>
          </w:tcPr>
          <w:p>
            <w:r>
              <w:rPr>
                <w:sz w:val="20"/>
              </w:rPr>
              <w:t>Oracle HCM Core HR</w:t>
            </w:r>
          </w:p>
        </w:tc>
        <w:tc>
          <w:tcPr>
            <w:tcW w:type="dxa" w:w="3009"/>
            <w:shd w:val="clear" w:color="auto" w:fill="F8F7FF"/>
          </w:tcPr>
          <w:p>
            <w:r>
              <w:rPr>
                <w:sz w:val="20"/>
              </w:rPr>
              <w:t>Updated dates with audit trail.</w:t>
            </w:r>
          </w:p>
        </w:tc>
      </w:tr>
      <w:tr>
        <w:tc>
          <w:tcPr>
            <w:tcW w:type="dxa" w:w="3009"/>
            <w:shd w:val="clear" w:color="auto" w:fill="FFFFFF"/>
          </w:tcPr>
          <w:p>
            <w:r>
              <w:rPr>
                <w:sz w:val="20"/>
              </w:rPr>
              <w:t>EOSB Recalculation Input</w:t>
            </w:r>
          </w:p>
        </w:tc>
        <w:tc>
          <w:tcPr>
            <w:tcW w:type="dxa" w:w="3009"/>
            <w:shd w:val="clear" w:color="auto" w:fill="FFFFFF"/>
          </w:tcPr>
          <w:p>
            <w:r>
              <w:rPr>
                <w:sz w:val="20"/>
              </w:rPr>
              <w:t>Payroll / Finance</w:t>
            </w:r>
          </w:p>
        </w:tc>
        <w:tc>
          <w:tcPr>
            <w:tcW w:type="dxa" w:w="3009"/>
            <w:shd w:val="clear" w:color="auto" w:fill="FFFFFF"/>
          </w:tcPr>
          <w:p>
            <w:r>
              <w:rPr>
                <w:sz w:val="20"/>
              </w:rPr>
              <w:t>Corrected seniority feeds EOSB calculations at termination.</w:t>
            </w:r>
          </w:p>
        </w:tc>
      </w:tr>
      <w:tr>
        <w:tc>
          <w:tcPr>
            <w:tcW w:type="dxa" w:w="3009"/>
            <w:shd w:val="clear" w:color="auto" w:fill="F8F7FF"/>
          </w:tcPr>
          <w:p>
            <w:r>
              <w:rPr>
                <w:sz w:val="20"/>
              </w:rPr>
              <w:t>Leave Accrual Trigger</w:t>
            </w:r>
          </w:p>
        </w:tc>
        <w:tc>
          <w:tcPr>
            <w:tcW w:type="dxa" w:w="3009"/>
            <w:shd w:val="clear" w:color="auto" w:fill="F8F7FF"/>
          </w:tcPr>
          <w:p>
            <w:r>
              <w:rPr>
                <w:sz w:val="20"/>
              </w:rPr>
              <w:t>Absence Module</w:t>
            </w:r>
          </w:p>
        </w:tc>
        <w:tc>
          <w:tcPr>
            <w:tcW w:type="dxa" w:w="3009"/>
            <w:shd w:val="clear" w:color="auto" w:fill="F8F7FF"/>
          </w:tcPr>
          <w:p>
            <w:r>
              <w:rPr>
                <w:sz w:val="20"/>
              </w:rPr>
              <w:t>Seniority date may trigger service-linked leave tier changes.</w:t>
            </w:r>
          </w:p>
        </w:tc>
      </w:tr>
    </w:tbl>
    <w:p/>
    <w:p>
      <w:pPr>
        <w:pStyle w:val="Heading2"/>
      </w:pPr>
      <w:r>
        <w:t>9. Business Rules &amp; Validations</w:t>
      </w:r>
    </w:p>
    <w:p>
      <w:pPr>
        <w:ind w:left="283"/>
      </w:pPr>
      <w:r>
        <w:rPr>
          <w:b/>
          <w:color w:val="5B5BD6"/>
          <w:sz w:val="22"/>
        </w:rPr>
        <w:t xml:space="preserve">1.  </w:t>
      </w:r>
      <w:r>
        <w:rPr>
          <w:sz w:val="22"/>
        </w:rPr>
        <w:t>Enterprise Seniority Date cannot be earlier than the employee's very first date of employment in the DMG group.</w:t>
      </w:r>
    </w:p>
    <w:p>
      <w:pPr>
        <w:ind w:left="283"/>
      </w:pPr>
      <w:r>
        <w:rPr>
          <w:b/>
          <w:color w:val="5B5BD6"/>
          <w:sz w:val="22"/>
        </w:rPr>
        <w:t xml:space="preserve">2.  </w:t>
      </w:r>
      <w:r>
        <w:rPr>
          <w:sz w:val="22"/>
        </w:rPr>
        <w:t>Seniority date corrections with EOSB financial impact (&gt; 12 months of service difference) require HRBP written approval.</w:t>
      </w:r>
    </w:p>
    <w:p>
      <w:pPr>
        <w:ind w:left="283"/>
      </w:pPr>
      <w:r>
        <w:rPr>
          <w:b/>
          <w:color w:val="5B5BD6"/>
          <w:sz w:val="22"/>
        </w:rPr>
        <w:t xml:space="preserve">3.  </w:t>
      </w:r>
      <w:r>
        <w:rPr>
          <w:sz w:val="22"/>
        </w:rPr>
        <w:t>Legal Employer Seniority Date resets at inter-entity transfer unless continuity of service is legally mandated.</w:t>
      </w:r>
    </w:p>
    <w:p>
      <w:pPr>
        <w:ind w:left="283"/>
      </w:pPr>
      <w:r>
        <w:rPr>
          <w:b/>
          <w:color w:val="5B5BD6"/>
          <w:sz w:val="22"/>
        </w:rPr>
        <w:t xml:space="preserve">4.  </w:t>
      </w:r>
      <w:r>
        <w:rPr>
          <w:sz w:val="22"/>
        </w:rPr>
        <w:t>All seniority date corrections are logged in the Oracle audit trail with the HR Specialist's user ID and timestamp.</w:t>
      </w:r>
    </w:p>
    <w:p>
      <w:pPr>
        <w:ind w:left="283"/>
      </w:pPr>
      <w:r>
        <w:rPr>
          <w:b/>
          <w:color w:val="5B5BD6"/>
          <w:sz w:val="22"/>
        </w:rPr>
        <w:t xml:space="preserve">5.  </w:t>
      </w:r>
      <w:r>
        <w:rPr>
          <w:sz w:val="22"/>
        </w:rPr>
        <w:t>Seniority date displayed to employees is read-only; corrections must go through HR Specialist.</w:t>
      </w:r>
    </w:p>
    <w:p>
      <w:pPr>
        <w:pStyle w:val="Heading2"/>
      </w:pPr>
      <w:r>
        <w:t>10. Exceptions &amp; Escalations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2400E"/>
          </w:tcPr>
          <w:p>
            <w:r>
              <w:rPr>
                <w:b/>
                <w:color w:val="FFFFFF"/>
                <w:sz w:val="20"/>
              </w:rPr>
              <w:t>Exception Scenario</w:t>
            </w:r>
          </w:p>
        </w:tc>
        <w:tc>
          <w:tcPr>
            <w:tcW w:type="dxa" w:w="2256"/>
            <w:shd w:val="clear" w:color="auto" w:fill="92400E"/>
          </w:tcPr>
          <w:p>
            <w:r>
              <w:rPr>
                <w:b/>
                <w:color w:val="FFFFFF"/>
                <w:sz w:val="20"/>
              </w:rPr>
              <w:t>Impact</w:t>
            </w:r>
          </w:p>
        </w:tc>
        <w:tc>
          <w:tcPr>
            <w:tcW w:type="dxa" w:w="2256"/>
            <w:shd w:val="clear" w:color="auto" w:fill="92400E"/>
          </w:tcPr>
          <w:p>
            <w:r>
              <w:rPr>
                <w:b/>
                <w:color w:val="FFFFFF"/>
                <w:sz w:val="20"/>
              </w:rPr>
              <w:t>Escalation Path</w:t>
            </w:r>
          </w:p>
        </w:tc>
        <w:tc>
          <w:tcPr>
            <w:tcW w:type="dxa" w:w="2256"/>
            <w:shd w:val="clear" w:color="auto" w:fill="92400E"/>
          </w:tcPr>
          <w:p>
            <w:r>
              <w:rPr>
                <w:b/>
                <w:color w:val="FFFFFF"/>
                <w:sz w:val="20"/>
              </w:rPr>
              <w:t>Resolution</w:t>
            </w:r>
          </w:p>
        </w:tc>
      </w:tr>
      <w:tr>
        <w:tc>
          <w:tcPr>
            <w:tcW w:type="dxa" w:w="2256"/>
            <w:shd w:val="clear" w:color="auto" w:fill="F8F7FF"/>
          </w:tcPr>
          <w:p>
            <w:r>
              <w:rPr>
                <w:sz w:val="20"/>
              </w:rPr>
              <w:t>Seniority date does not reflect probation extension</w:t>
            </w:r>
          </w:p>
        </w:tc>
        <w:tc>
          <w:tcPr>
            <w:tcW w:type="dxa" w:w="2256"/>
            <w:shd w:val="clear" w:color="auto" w:fill="F8F7FF"/>
          </w:tcPr>
          <w:p>
            <w:r>
              <w:rPr>
                <w:sz w:val="20"/>
              </w:rPr>
              <w:t>EOSB calculation error</w:t>
            </w:r>
          </w:p>
        </w:tc>
        <w:tc>
          <w:tcPr>
            <w:tcW w:type="dxa" w:w="2256"/>
            <w:shd w:val="clear" w:color="auto" w:fill="F8F7FF"/>
          </w:tcPr>
          <w:p>
            <w:r>
              <w:rPr>
                <w:sz w:val="20"/>
              </w:rPr>
              <w:t>HR Specialist investigates and corrects</w:t>
            </w:r>
          </w:p>
        </w:tc>
        <w:tc>
          <w:tcPr>
            <w:tcW w:type="dxa" w:w="2256"/>
            <w:shd w:val="clear" w:color="auto" w:fill="F8F7FF"/>
          </w:tcPr>
          <w:p>
            <w:r>
              <w:rPr>
                <w:sz w:val="20"/>
              </w:rPr>
              <w:t>Update seniority date with HRBP approval.</w:t>
            </w:r>
          </w:p>
        </w:tc>
      </w:tr>
      <w:tr>
        <w:tc>
          <w:tcPr>
            <w:tcW w:type="dxa" w:w="2256"/>
            <w:shd w:val="clear" w:color="auto" w:fill="FFFFFF"/>
          </w:tcPr>
          <w:p>
            <w:r>
              <w:rPr>
                <w:sz w:val="20"/>
              </w:rPr>
              <w:t>Inter-entity transfer missing from seniority</w:t>
            </w:r>
          </w:p>
        </w:tc>
        <w:tc>
          <w:tcPr>
            <w:tcW w:type="dxa" w:w="2256"/>
            <w:shd w:val="clear" w:color="auto" w:fill="FFFFFF"/>
          </w:tcPr>
          <w:p>
            <w:r>
              <w:rPr>
                <w:sz w:val="20"/>
              </w:rPr>
              <w:t>Legal Employer date shows original hire</w:t>
            </w:r>
          </w:p>
        </w:tc>
        <w:tc>
          <w:tcPr>
            <w:tcW w:type="dxa" w:w="2256"/>
            <w:shd w:val="clear" w:color="auto" w:fill="FFFFFF"/>
          </w:tcPr>
          <w:p>
            <w:r>
              <w:rPr>
                <w:sz w:val="20"/>
              </w:rPr>
              <w:t>HR checks transfer record and corrects Legal Employer date</w:t>
            </w:r>
          </w:p>
        </w:tc>
        <w:tc>
          <w:tcPr>
            <w:tcW w:type="dxa" w:w="2256"/>
            <w:shd w:val="clear" w:color="auto" w:fill="FFFFFF"/>
          </w:tcPr>
          <w:p>
            <w:r>
              <w:rPr>
                <w:sz w:val="20"/>
              </w:rPr>
              <w:t>Transfer SOP must be completed correctly to maintain date continuity.</w:t>
            </w:r>
          </w:p>
        </w:tc>
      </w:tr>
      <w:tr>
        <w:tc>
          <w:tcPr>
            <w:tcW w:type="dxa" w:w="2256"/>
            <w:shd w:val="clear" w:color="auto" w:fill="F8F7FF"/>
          </w:tcPr>
          <w:p>
            <w:r>
              <w:rPr>
                <w:sz w:val="20"/>
              </w:rPr>
              <w:t>Employee disputes seniority date with documented evidence</w:t>
            </w:r>
          </w:p>
        </w:tc>
        <w:tc>
          <w:tcPr>
            <w:tcW w:type="dxa" w:w="2256"/>
            <w:shd w:val="clear" w:color="auto" w:fill="F8F7FF"/>
          </w:tcPr>
          <w:p>
            <w:r>
              <w:rPr>
                <w:sz w:val="20"/>
              </w:rPr>
              <w:t>Potential EOSB liability</w:t>
            </w:r>
          </w:p>
        </w:tc>
        <w:tc>
          <w:tcPr>
            <w:tcW w:type="dxa" w:w="2256"/>
            <w:shd w:val="clear" w:color="auto" w:fill="F8F7FF"/>
          </w:tcPr>
          <w:p>
            <w:r>
              <w:rPr>
                <w:sz w:val="20"/>
              </w:rPr>
              <w:t>Escalate to HRBP and Legal</w:t>
            </w:r>
          </w:p>
        </w:tc>
        <w:tc>
          <w:tcPr>
            <w:tcW w:type="dxa" w:w="2256"/>
            <w:shd w:val="clear" w:color="auto" w:fill="F8F7FF"/>
          </w:tcPr>
          <w:p>
            <w:r>
              <w:rPr>
                <w:sz w:val="20"/>
              </w:rPr>
              <w:t>HRBP and Legal review contract and local law; HR corrects in Oracle.</w:t>
            </w:r>
          </w:p>
        </w:tc>
      </w:tr>
    </w:tbl>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Seniority date accuracy (no discrepancies at audit)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Quarterly HRIS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Seniority corrections with HRBP approval</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Approval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Seniority date correction processing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3 business days from HRBP approval</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HR request log</w:t>
            </w:r>
          </w:p>
        </w:tc>
      </w:tr>
    </w:tbl>
    <w:p/>
    <w:p>
      <w:pPr>
        <w:pStyle w:val="Heading2"/>
      </w:pPr>
      <w:r>
        <w:t>12. Risks &amp; Controls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91B1B"/>
          </w:tcPr>
          <w:p>
            <w:r>
              <w:rPr>
                <w:b/>
                <w:color w:val="FFFFFF"/>
                <w:sz w:val="20"/>
              </w:rPr>
              <w:t>Risk</w:t>
            </w:r>
          </w:p>
        </w:tc>
        <w:tc>
          <w:tcPr>
            <w:tcW w:type="dxa" w:w="2256"/>
            <w:shd w:val="clear" w:color="auto" w:fill="991B1B"/>
          </w:tcPr>
          <w:p>
            <w:r>
              <w:rPr>
                <w:b/>
                <w:color w:val="FFFFFF"/>
                <w:sz w:val="20"/>
              </w:rPr>
              <w:t>Likelihood</w:t>
            </w:r>
          </w:p>
        </w:tc>
        <w:tc>
          <w:tcPr>
            <w:tcW w:type="dxa" w:w="2256"/>
            <w:shd w:val="clear" w:color="auto" w:fill="991B1B"/>
          </w:tcPr>
          <w:p>
            <w:r>
              <w:rPr>
                <w:b/>
                <w:color w:val="FFFFFF"/>
                <w:sz w:val="20"/>
              </w:rPr>
              <w:t>Control Measure</w:t>
            </w:r>
          </w:p>
        </w:tc>
        <w:tc>
          <w:tcPr>
            <w:tcW w:type="dxa" w:w="2256"/>
            <w:shd w:val="clear" w:color="auto" w:fill="991B1B"/>
          </w:tcPr>
          <w:p>
            <w:r>
              <w:rPr>
                <w:b/>
                <w:color w:val="FFFFFF"/>
                <w:sz w:val="20"/>
              </w:rPr>
              <w:t>Owner</w:t>
            </w:r>
          </w:p>
        </w:tc>
      </w:tr>
      <w:tr>
        <w:tc>
          <w:tcPr>
            <w:tcW w:type="dxa" w:w="2256"/>
            <w:shd w:val="clear" w:color="auto" w:fill="F8F7FF"/>
          </w:tcPr>
          <w:p>
            <w:r>
              <w:rPr>
                <w:sz w:val="20"/>
              </w:rPr>
              <w:t>Incorrect seniority date — EOSB underpayment/overpayment</w:t>
            </w:r>
          </w:p>
        </w:tc>
        <w:tc>
          <w:tcPr>
            <w:tcW w:type="dxa" w:w="2256"/>
            <w:shd w:val="clear" w:color="auto" w:fill="F8F7FF"/>
          </w:tcPr>
          <w:p>
            <w:r>
              <w:rPr>
                <w:sz w:val="20"/>
              </w:rPr>
              <w:t>High</w:t>
            </w:r>
          </w:p>
        </w:tc>
        <w:tc>
          <w:tcPr>
            <w:tcW w:type="dxa" w:w="2256"/>
            <w:shd w:val="clear" w:color="auto" w:fill="F8F7FF"/>
          </w:tcPr>
          <w:p>
            <w:r>
              <w:rPr>
                <w:sz w:val="20"/>
              </w:rPr>
              <w:t>HRBP approval gate for corrections; annual audit</w:t>
            </w:r>
          </w:p>
        </w:tc>
        <w:tc>
          <w:tcPr>
            <w:tcW w:type="dxa" w:w="2256"/>
            <w:shd w:val="clear" w:color="auto" w:fill="F8F7FF"/>
          </w:tcPr>
          <w:p>
            <w:r>
              <w:rPr>
                <w:sz w:val="20"/>
              </w:rPr>
              <w:t>HRBP / HR Operations</w:t>
            </w:r>
          </w:p>
        </w:tc>
      </w:tr>
      <w:tr>
        <w:tc>
          <w:tcPr>
            <w:tcW w:type="dxa" w:w="2256"/>
            <w:shd w:val="clear" w:color="auto" w:fill="FFFFFF"/>
          </w:tcPr>
          <w:p>
            <w:r>
              <w:rPr>
                <w:sz w:val="20"/>
              </w:rPr>
              <w:t>Leave accrual errors from wrong seniority date</w:t>
            </w:r>
          </w:p>
        </w:tc>
        <w:tc>
          <w:tcPr>
            <w:tcW w:type="dxa" w:w="2256"/>
            <w:shd w:val="clear" w:color="auto" w:fill="FFFFFF"/>
          </w:tcPr>
          <w:p>
            <w:r>
              <w:rPr>
                <w:sz w:val="20"/>
              </w:rPr>
              <w:t>Medium</w:t>
            </w:r>
          </w:p>
        </w:tc>
        <w:tc>
          <w:tcPr>
            <w:tcW w:type="dxa" w:w="2256"/>
            <w:shd w:val="clear" w:color="auto" w:fill="FFFFFF"/>
          </w:tcPr>
          <w:p>
            <w:r>
              <w:rPr>
                <w:sz w:val="20"/>
              </w:rPr>
              <w:t>Absence module audit; leave balance reconciliation</w:t>
            </w:r>
          </w:p>
        </w:tc>
        <w:tc>
          <w:tcPr>
            <w:tcW w:type="dxa" w:w="2256"/>
            <w:shd w:val="clear" w:color="auto" w:fill="FFFFFF"/>
          </w:tcPr>
          <w:p>
            <w:r>
              <w:rPr>
                <w:sz w:val="20"/>
              </w:rPr>
              <w:t>HR Operations / Absence Admin</w:t>
            </w:r>
          </w:p>
        </w:tc>
      </w:tr>
    </w:tbl>
    <w:p/>
    <w:p>
      <w:pPr>
        <w:pStyle w:val="Heading2"/>
      </w:pPr>
      <w:r>
        <w:t>13. Dependencies</w:t>
      </w:r>
    </w:p>
    <w:p>
      <w:pPr>
        <w:pStyle w:val="ListBullet"/>
        <w:spacing w:after="60"/>
      </w:pPr>
      <w:r>
        <w:rPr>
          <w:rFonts w:ascii="Calibri" w:hAnsi="Calibri"/>
          <w:sz w:val="22"/>
        </w:rPr>
        <w:t>SOP-HCM-001: Hire Employee — Enterprise Seniority Date set at hire.</w:t>
      </w:r>
    </w:p>
    <w:p>
      <w:pPr>
        <w:pStyle w:val="ListBullet"/>
        <w:spacing w:after="60"/>
      </w:pPr>
      <w:r>
        <w:rPr>
          <w:rFonts w:ascii="Calibri" w:hAnsi="Calibri"/>
          <w:sz w:val="22"/>
        </w:rPr>
        <w:t>SOP-HCM-003A/B: Transfer — Legal Employer Seniority Date updated on transfer.</w:t>
      </w:r>
    </w:p>
    <w:p>
      <w:pPr>
        <w:pStyle w:val="ListBullet"/>
        <w:spacing w:after="60"/>
      </w:pPr>
      <w:r>
        <w:rPr>
          <w:rFonts w:ascii="Calibri" w:hAnsi="Calibri"/>
          <w:sz w:val="22"/>
        </w:rPr>
        <w:t>SOP-PAY-005: Retroactive Calculation — seniority correction may trigger retro pay.</w:t>
      </w:r>
    </w:p>
    <w:p>
      <w:pPr>
        <w:pStyle w:val="ListBullet"/>
        <w:spacing w:after="60"/>
      </w:pPr>
      <w:r>
        <w:rPr>
          <w:rFonts w:ascii="Calibri" w:hAnsi="Calibri"/>
          <w:sz w:val="22"/>
        </w:rPr>
        <w:t>EOSB calculations reference Enterprise Seniority Date at termination.</w:t>
      </w:r>
    </w:p>
    <w:p>
      <w:pPr>
        <w:pStyle w:val="Heading2"/>
      </w:pPr>
      <w:r>
        <w:t>14. Related Documents</w:t>
      </w:r>
    </w:p>
    <w:p>
      <w:pPr>
        <w:pStyle w:val="ListBullet"/>
        <w:spacing w:after="60"/>
      </w:pPr>
      <w:r>
        <w:rPr>
          <w:rFonts w:ascii="Calibri" w:hAnsi="Calibri"/>
          <w:sz w:val="22"/>
        </w:rPr>
        <w:t>PM_EE_06_Seniority_Dates — Process Map</w:t>
      </w:r>
    </w:p>
    <w:p>
      <w:pPr>
        <w:pStyle w:val="ListBullet"/>
        <w:spacing w:after="60"/>
      </w:pPr>
      <w:r>
        <w:rPr>
          <w:rFonts w:ascii="Calibri" w:hAnsi="Calibri"/>
          <w:sz w:val="22"/>
        </w:rPr>
        <w:t>SOP-HCM-003A/B: Transfer Employee</w:t>
      </w:r>
    </w:p>
    <w:p>
      <w:pPr>
        <w:pStyle w:val="ListBullet"/>
        <w:spacing w:after="60"/>
      </w:pPr>
      <w:r>
        <w:rPr>
          <w:rFonts w:ascii="Calibri" w:hAnsi="Calibri"/>
          <w:sz w:val="22"/>
        </w:rPr>
        <w:t>SOP-HCM-005A/B: Terminate Employment</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p>
      <w:r>
        <w:br w:type="page"/>
      </w:r>
    </w:p>
    <w:p>
      <w:pPr>
        <w:pStyle w:val="Heading1"/>
      </w:pPr>
      <w:r>
        <w:t>Approval Sign-Off</w:t>
      </w:r>
    </w:p>
    <w:p>
      <w:pPr>
        <w:spacing w:after="80"/>
      </w:pPr>
      <w:r>
        <w:rPr>
          <w:rFonts w:ascii="Calibri" w:hAnsi="Calibri"/>
          <w:sz w:val="22"/>
        </w:rPr>
        <w:t>This Standard Operating Procedure has been reviewed and approved by the following stakeholders. Signatures confirm that the content has been validated for accuracy, completeness, and operational alignment.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2"/>
              </w:rPr>
              <w:t>Role</w:t>
            </w:r>
          </w:p>
        </w:tc>
        <w:tc>
          <w:tcPr>
            <w:tcW w:type="dxa" w:w="2256"/>
            <w:shd w:val="clear" w:color="auto" w:fill="2D2B55"/>
          </w:tcPr>
          <w:p>
            <w:r>
              <w:rPr>
                <w:b/>
                <w:color w:val="FFFFFF"/>
                <w:sz w:val="22"/>
              </w:rPr>
              <w:t>Name</w:t>
            </w:r>
          </w:p>
        </w:tc>
        <w:tc>
          <w:tcPr>
            <w:tcW w:type="dxa" w:w="2256"/>
            <w:shd w:val="clear" w:color="auto" w:fill="2D2B55"/>
          </w:tcPr>
          <w:p>
            <w:r>
              <w:rPr>
                <w:b/>
                <w:color w:val="FFFFFF"/>
                <w:sz w:val="22"/>
              </w:rPr>
              <w:t>Signature</w:t>
            </w:r>
          </w:p>
        </w:tc>
        <w:tc>
          <w:tcPr>
            <w:tcW w:type="dxa" w:w="2256"/>
            <w:shd w:val="clear" w:color="auto" w:fill="2D2B55"/>
          </w:tcPr>
          <w:p>
            <w:r>
              <w:rPr>
                <w:b/>
                <w:color w:val="FFFFFF"/>
                <w:sz w:val="22"/>
              </w:rPr>
              <w:t>Date</w:t>
            </w:r>
          </w:p>
        </w:tc>
      </w:tr>
      <w:tr>
        <w:tc>
          <w:tcPr>
            <w:tcW w:type="dxa" w:w="2256"/>
            <w:shd w:val="clear" w:color="auto" w:fill="F8F7FF"/>
          </w:tcPr>
          <w:p>
            <w:r>
              <w:t>Process Owner / HR Operations</w:t>
            </w:r>
          </w:p>
        </w:tc>
        <w:tc>
          <w:tcPr>
            <w:tcW w:type="dxa" w:w="2256"/>
          </w:tcPr>
          <w:p>
            <w:r/>
          </w:p>
        </w:tc>
        <w:tc>
          <w:tcPr>
            <w:tcW w:type="dxa" w:w="2256"/>
          </w:tcPr>
          <w:p>
            <w:r/>
          </w:p>
        </w:tc>
        <w:tc>
          <w:tcPr>
            <w:tcW w:type="dxa" w:w="2256"/>
          </w:tcPr>
          <w:p>
            <w:r/>
          </w:p>
        </w:tc>
      </w:tr>
      <w:tr>
        <w:tc>
          <w:tcPr>
            <w:tcW w:type="dxa" w:w="2256"/>
            <w:shd w:val="clear" w:color="auto" w:fill="F8F7FF"/>
          </w:tcPr>
          <w:p>
            <w:r>
              <w:t>HRBP / HR Director</w:t>
            </w:r>
          </w:p>
        </w:tc>
        <w:tc>
          <w:tcPr>
            <w:tcW w:type="dxa" w:w="2256"/>
          </w:tcPr>
          <w:p>
            <w:r/>
          </w:p>
        </w:tc>
        <w:tc>
          <w:tcPr>
            <w:tcW w:type="dxa" w:w="2256"/>
          </w:tcPr>
          <w:p>
            <w:r/>
          </w:p>
        </w:tc>
        <w:tc>
          <w:tcPr>
            <w:tcW w:type="dxa" w:w="2256"/>
          </w:tcPr>
          <w:p>
            <w:r/>
          </w:p>
        </w:tc>
      </w:tr>
      <w:tr>
        <w:tc>
          <w:tcPr>
            <w:tcW w:type="dxa" w:w="2256"/>
            <w:shd w:val="clear" w:color="auto" w:fill="F8F7FF"/>
          </w:tcPr>
          <w:p>
            <w:r>
              <w:t>CHRO / Approving Authority</w:t>
            </w:r>
          </w:p>
        </w:tc>
        <w:tc>
          <w:tcPr>
            <w:tcW w:type="dxa" w:w="2256"/>
          </w:tcPr>
          <w:p>
            <w:r/>
          </w:p>
        </w:tc>
        <w:tc>
          <w:tcPr>
            <w:tcW w:type="dxa" w:w="2256"/>
          </w:tcPr>
          <w:p>
            <w:r/>
          </w:p>
        </w:tc>
        <w:tc>
          <w:tcPr>
            <w:tcW w:type="dxa" w:w="2256"/>
          </w:tcPr>
          <w:p>
            <w:r/>
          </w:p>
        </w:tc>
      </w:tr>
      <w:tr>
        <w:tc>
          <w:tcPr>
            <w:tcW w:type="dxa" w:w="2256"/>
            <w:shd w:val="clear" w:color="auto" w:fill="F8F7FF"/>
          </w:tcPr>
          <w:p>
            <w:r>
              <w:t>HRIS Administrator</w:t>
            </w:r>
          </w:p>
        </w:tc>
        <w:tc>
          <w:tcPr>
            <w:tcW w:type="dxa" w:w="2256"/>
          </w:tcPr>
          <w:p>
            <w:r/>
          </w:p>
        </w:tc>
        <w:tc>
          <w:tcPr>
            <w:tcW w:type="dxa" w:w="2256"/>
          </w:tcPr>
          <w:p>
            <w:r/>
          </w:p>
        </w:tc>
        <w:tc>
          <w:tcPr>
            <w:tcW w:type="dxa" w:w="2256"/>
          </w:tcPr>
          <w:p>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This document is CONFIDENTIAL and intended for internal DMG use only. Any external distribution requires written approval from the CHRO.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088B62-053B-41B6-AE81-8BF2915EE15A}"/>
</file>

<file path=customXml/itemProps3.xml><?xml version="1.0" encoding="utf-8"?>
<ds:datastoreItem xmlns:ds="http://schemas.openxmlformats.org/officeDocument/2006/customXml" ds:itemID="{F3763D6B-5626-4711-995E-277D07D017BD}"/>
</file>

<file path=customXml/itemProps4.xml><?xml version="1.0" encoding="utf-8"?>
<ds:datastoreItem xmlns:ds="http://schemas.openxmlformats.org/officeDocument/2006/customXml" ds:itemID="{52EA629A-C7F1-432A-BF3F-6CF2C2E3677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