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FEF3C7"/>
      </w:pPr>
      <w:r>
        <w:rPr>
          <w:rFonts w:ascii="Calibri" w:hAnsi="Calibri"/>
          <w:b/>
          <w:color w:val="2D2B55"/>
          <w:sz w:val="20"/>
        </w:rPr>
        <w:t xml:space="preserve">  ROLE: EMPLOYEE (VIEW ONLY)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SOP-HCM-EE-006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Employment Information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Employee Self-Service | Oracle HCM Fusion Cloud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SOP-HCM-EE-006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DBEAFE"/>
          </w:tcPr>
          <w:p>
            <w:r>
              <w:rPr>
                <w:b/>
                <w:sz w:val="20"/>
              </w:rPr>
              <w:t>SOP Reference</w:t>
            </w:r>
          </w:p>
        </w:tc>
        <w:tc>
          <w:tcPr>
            <w:tcW w:type="dxa" w:w="4513"/>
            <w:shd w:val="clear" w:color="auto" w:fill="F8F7FF"/>
          </w:tcPr>
          <w:p>
            <w:r>
              <w:rPr>
                <w:sz w:val="20"/>
              </w:rPr>
              <w:t>SOP-HCM-EE-006</w:t>
            </w:r>
          </w:p>
        </w:tc>
      </w:tr>
      <w:tr>
        <w:tc>
          <w:tcPr>
            <w:tcW w:type="dxa" w:w="4513"/>
            <w:shd w:val="clear" w:color="auto" w:fill="DBEAFE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4513"/>
            <w:shd w:val="clear" w:color="auto" w:fill="FFFFFF"/>
          </w:tcPr>
          <w:p>
            <w:r>
              <w:rPr>
                <w:sz w:val="20"/>
              </w:rPr>
              <w:t>Employment Information – Employee View</w:t>
            </w:r>
          </w:p>
        </w:tc>
      </w:tr>
      <w:tr>
        <w:tc>
          <w:tcPr>
            <w:tcW w:type="dxa" w:w="4513"/>
            <w:shd w:val="clear" w:color="auto" w:fill="DBEAFE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513"/>
            <w:shd w:val="clear" w:color="auto" w:fill="F8F7FF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513"/>
            <w:shd w:val="clear" w:color="auto" w:fill="DBEAFE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513"/>
            <w:shd w:val="clear" w:color="auto" w:fill="FFFFFF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513"/>
            <w:shd w:val="clear" w:color="auto" w:fill="DBEAFE"/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4513"/>
            <w:shd w:val="clear" w:color="auto" w:fill="F8F7FF"/>
          </w:tcPr>
          <w:p>
            <w:r>
              <w:rPr>
                <w:sz w:val="20"/>
              </w:rPr>
              <w:t>HR Operations</w:t>
            </w:r>
          </w:p>
        </w:tc>
      </w:tr>
      <w:tr>
        <w:tc>
          <w:tcPr>
            <w:tcW w:type="dxa" w:w="4513"/>
            <w:shd w:val="clear" w:color="auto" w:fill="DBEAFE"/>
          </w:tcPr>
          <w:p>
            <w:r>
              <w:rPr>
                <w:b/>
                <w:sz w:val="20"/>
              </w:rPr>
              <w:t>Approving Authority</w:t>
            </w:r>
          </w:p>
        </w:tc>
        <w:tc>
          <w:tcPr>
            <w:tcW w:type="dxa" w:w="4513"/>
            <w:shd w:val="clear" w:color="auto" w:fill="FFFFFF"/>
          </w:tcPr>
          <w:p>
            <w:r>
              <w:rPr>
                <w:sz w:val="20"/>
              </w:rPr>
              <w:t>CHRO / HR Director</w:t>
            </w:r>
          </w:p>
        </w:tc>
      </w:tr>
      <w:tr>
        <w:tc>
          <w:tcPr>
            <w:tcW w:type="dxa" w:w="4513"/>
            <w:shd w:val="clear" w:color="auto" w:fill="DBEAFE"/>
          </w:tcPr>
          <w:p>
            <w:r>
              <w:rPr>
                <w:b/>
                <w:sz w:val="20"/>
              </w:rPr>
              <w:t>Next Review Date</w:t>
            </w:r>
          </w:p>
        </w:tc>
        <w:tc>
          <w:tcPr>
            <w:tcW w:type="dxa" w:w="4513"/>
            <w:shd w:val="clear" w:color="auto" w:fill="F8F7FF"/>
          </w:tcPr>
          <w:p>
            <w:r>
              <w:rPr>
                <w:sz w:val="20"/>
              </w:rPr>
              <w:t>April 2027</w:t>
            </w:r>
          </w:p>
        </w:tc>
      </w:tr>
      <w:tr>
        <w:tc>
          <w:tcPr>
            <w:tcW w:type="dxa" w:w="4513"/>
            <w:shd w:val="clear" w:color="auto" w:fill="DBEAFE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513"/>
            <w:shd w:val="clear" w:color="auto" w:fill="FFFFFF"/>
          </w:tcPr>
          <w:p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513"/>
            <w:shd w:val="clear" w:color="auto" w:fill="DBEAFE"/>
          </w:tcPr>
          <w:p>
            <w:r>
              <w:rPr>
                <w:b/>
                <w:sz w:val="20"/>
              </w:rPr>
              <w:t>System</w:t>
            </w:r>
          </w:p>
        </w:tc>
        <w:tc>
          <w:tcPr>
            <w:tcW w:type="dxa" w:w="4513"/>
            <w:shd w:val="clear" w:color="auto" w:fill="F8F7FF"/>
          </w:tcPr>
          <w:p>
            <w:r>
              <w:rPr>
                <w:sz w:val="20"/>
              </w:rPr>
              <w:t>Oracle HCM Fusion Cloud</w:t>
            </w:r>
          </w:p>
        </w:tc>
      </w:tr>
      <w:tr>
        <w:tc>
          <w:tcPr>
            <w:tcW w:type="dxa" w:w="4513"/>
            <w:shd w:val="clear" w:color="auto" w:fill="DBEAFE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513"/>
            <w:shd w:val="clear" w:color="auto" w:fill="FFFFFF"/>
          </w:tcPr>
          <w:p>
            <w:r>
              <w:rPr>
                <w:sz w:val="20"/>
              </w:rPr>
              <w:t>Active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how an Employee views their Employment Information in Oracle HCM Fusion Cloud. Employment Information provides a read-only view of assignment details including Job, Grade, Department, Location, Work Relationship, and FTE. Employees use this information to verify their employment record and escalate discrepancies to HR.</w:t>
      </w:r>
    </w:p>
    <w:p>
      <w:pPr>
        <w:pStyle w:val="Heading2"/>
      </w:pPr>
      <w:r>
        <w:t>3. Overview</w:t>
      </w:r>
    </w:p>
    <w:p>
      <w:pPr>
        <w:shd w:val="clear" w:color="auto" w:fill="FEF3C7"/>
        <w:spacing w:before="80" w:after="160"/>
      </w:pPr>
      <w:r>
        <w:rPr>
          <w:rFonts w:ascii="Calibri" w:hAnsi="Calibri"/>
          <w:b/>
          <w:color w:val="92400E"/>
          <w:sz w:val="20"/>
        </w:rPr>
        <w:t xml:space="preserve">Note:  </w:t>
      </w:r>
      <w:r>
        <w:rPr>
          <w:rFonts w:ascii="Calibri" w:hAnsi="Calibri"/>
          <w:color w:val="111827"/>
          <w:sz w:val="20"/>
        </w:rPr>
        <w:t>Employment Information is accessible via Me → Employment Info. This is a view-only screen for employees — all edits are performed by HR Specialists (SOP-HCM-HS-018). The screen shows the employee's current assignment data, work relationship status, and key employment attributes. Process map: PM_EE_07 / PM_HS_18.</w:t>
      </w:r>
    </w:p>
    <w:p>
      <w:pPr>
        <w:pStyle w:val="Heading2"/>
      </w:pPr>
      <w:r>
        <w:t>4.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Employee read-only view of: Business Unit, Job, Grade, Business Title, Department, Location, Regular/Temporary status, Full/Part-time status, FTE, Work Relationship type and status.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Employee escalation path for incorrect employment data.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Employee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View Only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Review employment details. Escalate inaccuracies to HR Specialist.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HR Specialist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Edit / Process Owner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Update employment information (SOP-HCM-HS-018).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Line Manager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Review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Confirm employee assignment accuracy during regular check-ins.</w:t>
            </w:r>
          </w:p>
        </w:tc>
      </w:tr>
    </w:tbl>
    <w:p/>
    <w:p>
      <w:pPr>
        <w:pStyle w:val="Heading2"/>
      </w:pPr>
      <w:r>
        <w:t>5. Process Flow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2D2B55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256"/>
            <w:shd w:val="clear" w:color="auto" w:fill="2D2B55"/>
          </w:tcPr>
          <w:p>
            <w:r>
              <w:rPr>
                <w:b/>
                <w:color w:val="FFFFFF"/>
                <w:sz w:val="20"/>
              </w:rPr>
              <w:t>Key Steps</w:t>
            </w:r>
          </w:p>
        </w:tc>
        <w:tc>
          <w:tcPr>
            <w:tcW w:type="dxa" w:w="2256"/>
            <w:shd w:val="clear" w:color="auto" w:fill="2D2B55"/>
          </w:tcPr>
          <w:p>
            <w:r>
              <w:rPr>
                <w:b/>
                <w:color w:val="FFFFFF"/>
                <w:sz w:val="20"/>
              </w:rPr>
              <w:t>Decision Points</w:t>
            </w:r>
          </w:p>
        </w:tc>
        <w:tc>
          <w:tcPr>
            <w:tcW w:type="dxa" w:w="2256"/>
            <w:shd w:val="clear" w:color="auto" w:fill="2D2B55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2256"/>
            <w:shd w:val="clear" w:color="auto" w:fill="F8F7FF"/>
          </w:tcPr>
          <w:p>
            <w:r>
              <w:rPr>
                <w:sz w:val="20"/>
              </w:rPr>
              <w:t>Navigate</w:t>
            </w:r>
          </w:p>
        </w:tc>
        <w:tc>
          <w:tcPr>
            <w:tcW w:type="dxa" w:w="2256"/>
            <w:shd w:val="clear" w:color="auto" w:fill="F8F7FF"/>
          </w:tcPr>
          <w:p>
            <w:r>
              <w:rPr>
                <w:sz w:val="20"/>
              </w:rPr>
              <w:t>Me → Employment Info</w:t>
            </w:r>
          </w:p>
        </w:tc>
        <w:tc>
          <w:tcPr>
            <w:tcW w:type="dxa" w:w="2256"/>
            <w:shd w:val="clear" w:color="auto" w:fill="F8F7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  <w:shd w:val="clear" w:color="auto" w:fill="F8F7FF"/>
          </w:tcPr>
          <w:p>
            <w:r>
              <w:rPr>
                <w:sz w:val="20"/>
              </w:rPr>
              <w:t>Employment Info page displayed</w:t>
            </w:r>
          </w:p>
        </w:tc>
      </w:tr>
      <w:tr>
        <w:tc>
          <w:tcPr>
            <w:tcW w:type="dxa" w:w="2256"/>
            <w:shd w:val="clear" w:color="auto" w:fill="FFFFFF"/>
          </w:tcPr>
          <w:p>
            <w:r>
              <w:rPr>
                <w:sz w:val="20"/>
              </w:rPr>
              <w:t>Review</w:t>
            </w:r>
          </w:p>
        </w:tc>
        <w:tc>
          <w:tcPr>
            <w:tcW w:type="dxa" w:w="2256"/>
            <w:shd w:val="clear" w:color="auto" w:fill="FFFFFF"/>
          </w:tcPr>
          <w:p>
            <w:r>
              <w:rPr>
                <w:sz w:val="20"/>
              </w:rPr>
              <w:t>Review assignment: Job, Grade, Dept, Location, FTE, Work Relationship</w:t>
            </w:r>
          </w:p>
        </w:tc>
        <w:tc>
          <w:tcPr>
            <w:tcW w:type="dxa" w:w="2256"/>
            <w:shd w:val="clear" w:color="auto" w:fill="FFFFFF"/>
          </w:tcPr>
          <w:p>
            <w:r>
              <w:rPr>
                <w:sz w:val="20"/>
              </w:rPr>
              <w:t>Data correct?</w:t>
            </w:r>
          </w:p>
        </w:tc>
        <w:tc>
          <w:tcPr>
            <w:tcW w:type="dxa" w:w="2256"/>
            <w:shd w:val="clear" w:color="auto" w:fill="FFFFFF"/>
          </w:tcPr>
          <w:p>
            <w:r>
              <w:rPr>
                <w:sz w:val="20"/>
              </w:rPr>
              <w:t>Data confirmed or discrepancy identified</w:t>
            </w:r>
          </w:p>
        </w:tc>
      </w:tr>
      <w:tr>
        <w:tc>
          <w:tcPr>
            <w:tcW w:type="dxa" w:w="2256"/>
            <w:shd w:val="clear" w:color="auto" w:fill="F8F7FF"/>
          </w:tcPr>
          <w:p>
            <w:r>
              <w:rPr>
                <w:sz w:val="20"/>
              </w:rPr>
              <w:t>Escalate</w:t>
            </w:r>
          </w:p>
        </w:tc>
        <w:tc>
          <w:tcPr>
            <w:tcW w:type="dxa" w:w="2256"/>
            <w:shd w:val="clear" w:color="auto" w:fill="F8F7FF"/>
          </w:tcPr>
          <w:p>
            <w:r>
              <w:rPr>
                <w:sz w:val="20"/>
              </w:rPr>
              <w:t>Employee contacts HR Specialist with discrepancy details</w:t>
            </w:r>
          </w:p>
        </w:tc>
        <w:tc>
          <w:tcPr>
            <w:tcW w:type="dxa" w:w="2256"/>
            <w:shd w:val="clear" w:color="auto" w:fill="F8F7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56"/>
            <w:shd w:val="clear" w:color="auto" w:fill="F8F7FF"/>
          </w:tcPr>
          <w:p>
            <w:r>
              <w:rPr>
                <w:sz w:val="20"/>
              </w:rPr>
              <w:t>HR Specialist opens correction via SOP-HCM-HS-018</w:t>
            </w:r>
          </w:p>
        </w:tc>
      </w:tr>
    </w:tbl>
    <w:p/>
    <w:p>
      <w:pPr>
        <w:pStyle w:val="Heading2"/>
      </w:pPr>
      <w:r>
        <w:t>6. Navigation Path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Employee: Me → Employment Info (read-only)</w:t>
        <w:br/>
        <w:t>Also accessible: Me → Personal Information → Employment Info tab</w:t>
      </w:r>
    </w:p>
    <w:p>
      <w:pPr>
        <w:pStyle w:val="Heading2"/>
      </w:pPr>
      <w:r>
        <w:t>7. Step-by-Step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Log in to Oracle HCM. Click Me from the navigation bar.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Me icon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Me menu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Select Employment Info from the menu options.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Employment Info link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Employment Information screen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Review Assignment section: Business Unit, Job Title, Grade, Business Title (working title), Department, Location.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Assignment section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Current assignment confirmed.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Review Work Relationship section: Work Relationship Type (Employee/Contractor), Legal Employer, Start Date, Status (Active/Suspended).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Work Relationship section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Employment status confirmed.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Review FTE (should be 1.0 for full-time), Regular/Temporary designation, Full-Time/Part-Time status.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FTE / Status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Working pattern confirmed.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If any field appears incorrect (wrong department, incorrect grade, wrong location): note the field name, current value, and expected correct value.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Self-review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Discrepancy documented.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Contact HR Specialist with the discrepancy: include employee name, person number, and field-level details. HR Specialist processes correction via SOP-HCM-HS-018.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 → 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Email / HR portal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Correction request submitted.</w:t>
            </w:r>
          </w:p>
        </w:tc>
      </w:tr>
    </w:tbl>
    <w:p/>
    <w:p>
      <w:pPr>
        <w:pStyle w:val="Heading2"/>
      </w:pPr>
      <w:r>
        <w:t>8. Inputs &amp; Outputs</w:t>
      </w:r>
    </w:p>
    <w:p>
      <w:pPr>
        <w:pStyle w:val="Heading3"/>
      </w:pPr>
      <w:r>
        <w:t>8.1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5B5BD6"/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009"/>
            <w:shd w:val="clear" w:color="auto" w:fill="5B5BD6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009"/>
            <w:shd w:val="clear" w:color="auto" w:fill="5B5BD6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09"/>
            <w:shd w:val="clear" w:color="auto" w:fill="F8F7FF"/>
          </w:tcPr>
          <w:p>
            <w:r>
              <w:rPr>
                <w:sz w:val="20"/>
              </w:rPr>
              <w:t>Job</w:t>
            </w:r>
          </w:p>
        </w:tc>
        <w:tc>
          <w:tcPr>
            <w:tcW w:type="dxa" w:w="3009"/>
            <w:shd w:val="clear" w:color="auto" w:fill="F8F7FF"/>
          </w:tcPr>
          <w:p>
            <w:r>
              <w:rPr>
                <w:sz w:val="20"/>
              </w:rPr>
              <w:t>Oracle HCM — from hire/promotion/transfer</w:t>
            </w:r>
          </w:p>
        </w:tc>
        <w:tc>
          <w:tcPr>
            <w:tcW w:type="dxa" w:w="3009"/>
            <w:shd w:val="clear" w:color="auto" w:fill="F8F7FF"/>
          </w:tcPr>
          <w:p>
            <w:r>
              <w:rPr>
                <w:sz w:val="20"/>
              </w:rPr>
              <w:t>Current job title and code.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r>
              <w:rPr>
                <w:sz w:val="20"/>
              </w:rPr>
              <w:t>Grade</w:t>
            </w:r>
          </w:p>
        </w:tc>
        <w:tc>
          <w:tcPr>
            <w:tcW w:type="dxa" w:w="3009"/>
            <w:shd w:val="clear" w:color="auto" w:fill="FFFFFF"/>
          </w:tcPr>
          <w:p>
            <w:r>
              <w:rPr>
                <w:sz w:val="20"/>
              </w:rPr>
              <w:t>Oracle HCM — from hire/promotion</w:t>
            </w:r>
          </w:p>
        </w:tc>
        <w:tc>
          <w:tcPr>
            <w:tcW w:type="dxa" w:w="3009"/>
            <w:shd w:val="clear" w:color="auto" w:fill="FFFFFF"/>
          </w:tcPr>
          <w:p>
            <w:r>
              <w:rPr>
                <w:sz w:val="20"/>
              </w:rPr>
              <w:t>Pay grade linked to compensation band.</w:t>
            </w:r>
          </w:p>
        </w:tc>
      </w:tr>
      <w:tr>
        <w:tc>
          <w:tcPr>
            <w:tcW w:type="dxa" w:w="3009"/>
            <w:shd w:val="clear" w:color="auto" w:fill="F8F7FF"/>
          </w:tcPr>
          <w:p>
            <w:r>
              <w:rPr>
                <w:sz w:val="20"/>
              </w:rPr>
              <w:t>Department / Location</w:t>
            </w:r>
          </w:p>
        </w:tc>
        <w:tc>
          <w:tcPr>
            <w:tcW w:type="dxa" w:w="3009"/>
            <w:shd w:val="clear" w:color="auto" w:fill="F8F7FF"/>
          </w:tcPr>
          <w:p>
            <w:r>
              <w:rPr>
                <w:sz w:val="20"/>
              </w:rPr>
              <w:t>Oracle HCM — from hire/transfer</w:t>
            </w:r>
          </w:p>
        </w:tc>
        <w:tc>
          <w:tcPr>
            <w:tcW w:type="dxa" w:w="3009"/>
            <w:shd w:val="clear" w:color="auto" w:fill="F8F7FF"/>
          </w:tcPr>
          <w:p>
            <w:r>
              <w:rPr>
                <w:sz w:val="20"/>
              </w:rPr>
              <w:t>Current org unit and work location.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r>
              <w:rPr>
                <w:sz w:val="20"/>
              </w:rPr>
              <w:t>FTE / Work Pattern</w:t>
            </w:r>
          </w:p>
        </w:tc>
        <w:tc>
          <w:tcPr>
            <w:tcW w:type="dxa" w:w="3009"/>
            <w:shd w:val="clear" w:color="auto" w:fill="FFFFFF"/>
          </w:tcPr>
          <w:p>
            <w:r>
              <w:rPr>
                <w:sz w:val="20"/>
              </w:rPr>
              <w:t>Oracle HCM — from hire/assignment change</w:t>
            </w:r>
          </w:p>
        </w:tc>
        <w:tc>
          <w:tcPr>
            <w:tcW w:type="dxa" w:w="3009"/>
            <w:shd w:val="clear" w:color="auto" w:fill="FFFFFF"/>
          </w:tcPr>
          <w:p>
            <w:r>
              <w:rPr>
                <w:sz w:val="20"/>
              </w:rPr>
              <w:t>Full-time equivalent and working hours classification.</w:t>
            </w:r>
          </w:p>
        </w:tc>
      </w:tr>
    </w:tbl>
    <w:p/>
    <w:p>
      <w:pPr>
        <w:pStyle w:val="Heading3"/>
      </w:pPr>
      <w:r>
        <w:t>8.2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0F766E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3009"/>
            <w:shd w:val="clear" w:color="auto" w:fill="0F766E"/>
          </w:tcPr>
          <w:p>
            <w:r>
              <w:rPr>
                <w:b/>
                <w:color w:val="FFFFFF"/>
                <w:sz w:val="20"/>
              </w:rPr>
              <w:t>Destination</w:t>
            </w:r>
          </w:p>
        </w:tc>
        <w:tc>
          <w:tcPr>
            <w:tcW w:type="dxa" w:w="3009"/>
            <w:shd w:val="clear" w:color="auto" w:fill="0F76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09"/>
            <w:shd w:val="clear" w:color="auto" w:fill="F8F7FF"/>
          </w:tcPr>
          <w:p>
            <w:r>
              <w:rPr>
                <w:sz w:val="20"/>
              </w:rPr>
              <w:t>Discrepancy Report</w:t>
            </w:r>
          </w:p>
        </w:tc>
        <w:tc>
          <w:tcPr>
            <w:tcW w:type="dxa" w:w="3009"/>
            <w:shd w:val="clear" w:color="auto" w:fill="F8F7FF"/>
          </w:tcPr>
          <w:p>
            <w:r>
              <w:rPr>
                <w:sz w:val="20"/>
              </w:rPr>
              <w:t>HR Specialist</w:t>
            </w:r>
          </w:p>
        </w:tc>
        <w:tc>
          <w:tcPr>
            <w:tcW w:type="dxa" w:w="3009"/>
            <w:shd w:val="clear" w:color="auto" w:fill="F8F7FF"/>
          </w:tcPr>
          <w:p>
            <w:r>
              <w:rPr>
                <w:sz w:val="20"/>
              </w:rPr>
              <w:t>Employee-identified data correction request.</w:t>
            </w:r>
          </w:p>
        </w:tc>
      </w:tr>
      <w:tr>
        <w:tc>
          <w:tcPr>
            <w:tcW w:type="dxa" w:w="3009"/>
            <w:shd w:val="clear" w:color="auto" w:fill="FFFFFF"/>
          </w:tcPr>
          <w:p>
            <w:r>
              <w:rPr>
                <w:sz w:val="20"/>
              </w:rPr>
              <w:t>Corrected Employment Record</w:t>
            </w:r>
          </w:p>
        </w:tc>
        <w:tc>
          <w:tcPr>
            <w:tcW w:type="dxa" w:w="3009"/>
            <w:shd w:val="clear" w:color="auto" w:fill="FFFFFF"/>
          </w:tcPr>
          <w:p>
            <w:r>
              <w:rPr>
                <w:sz w:val="20"/>
              </w:rPr>
              <w:t>Oracle HCM (via HR Specialist)</w:t>
            </w:r>
          </w:p>
        </w:tc>
        <w:tc>
          <w:tcPr>
            <w:tcW w:type="dxa" w:w="3009"/>
            <w:shd w:val="clear" w:color="auto" w:fill="FFFFFF"/>
          </w:tcPr>
          <w:p>
            <w:r>
              <w:rPr>
                <w:sz w:val="20"/>
              </w:rPr>
              <w:t>Updated assignment after HR correction.</w:t>
            </w:r>
          </w:p>
        </w:tc>
      </w:tr>
    </w:tbl>
    <w:p/>
    <w:p>
      <w:pPr>
        <w:pStyle w:val="Heading2"/>
      </w:pPr>
      <w:r>
        <w:t>9. Business Rules &amp; Validations</w:t>
      </w:r>
    </w:p>
    <w:p>
      <w:pPr>
        <w:ind w:left="283"/>
      </w:pPr>
      <w:r>
        <w:rPr>
          <w:b/>
          <w:color w:val="5B5BD6"/>
          <w:sz w:val="22"/>
        </w:rPr>
        <w:t xml:space="preserve">1.  </w:t>
      </w:r>
      <w:r>
        <w:rPr>
          <w:sz w:val="22"/>
        </w:rPr>
        <w:t>Employment Information is read-only for employees — no self-service editing is permitted.</w:t>
      </w:r>
    </w:p>
    <w:p>
      <w:pPr>
        <w:ind w:left="283"/>
      </w:pPr>
      <w:r>
        <w:rPr>
          <w:b/>
          <w:color w:val="5B5BD6"/>
          <w:sz w:val="22"/>
        </w:rPr>
        <w:t xml:space="preserve">2.  </w:t>
      </w:r>
      <w:r>
        <w:rPr>
          <w:sz w:val="22"/>
        </w:rPr>
        <w:t>FTE must be 1.0 for all full-time employees; part-time employees show a fractional FTE.</w:t>
      </w:r>
    </w:p>
    <w:p>
      <w:pPr>
        <w:ind w:left="283"/>
      </w:pPr>
      <w:r>
        <w:rPr>
          <w:b/>
          <w:color w:val="5B5BD6"/>
          <w:sz w:val="22"/>
        </w:rPr>
        <w:t xml:space="preserve">3.  </w:t>
      </w:r>
      <w:r>
        <w:rPr>
          <w:sz w:val="22"/>
        </w:rPr>
        <w:t>Work Relationship Status "Active" confirms the employee is currently employed.</w:t>
      </w:r>
    </w:p>
    <w:p>
      <w:pPr>
        <w:ind w:left="283"/>
      </w:pPr>
      <w:r>
        <w:rPr>
          <w:b/>
          <w:color w:val="5B5BD6"/>
          <w:sz w:val="22"/>
        </w:rPr>
        <w:t xml:space="preserve">4.  </w:t>
      </w:r>
      <w:r>
        <w:rPr>
          <w:sz w:val="22"/>
        </w:rPr>
        <w:t>Grade field drives payroll band compliance — any discrepancy must be escalated immediately.</w:t>
      </w:r>
    </w:p>
    <w:p>
      <w:pPr>
        <w:ind w:left="283"/>
      </w:pPr>
      <w:r>
        <w:rPr>
          <w:b/>
          <w:color w:val="5B5BD6"/>
          <w:sz w:val="22"/>
        </w:rPr>
        <w:t xml:space="preserve">5.  </w:t>
      </w:r>
      <w:r>
        <w:rPr>
          <w:sz w:val="22"/>
        </w:rPr>
        <w:t>If the Department or Location appears incorrect, the employee should verify with their Line Manager before raising with HR.</w:t>
      </w:r>
    </w:p>
    <w:p>
      <w:pPr>
        <w:pStyle w:val="Heading2"/>
      </w:pPr>
      <w:r>
        <w:t>10. Exceptions &amp; Escalations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92400E"/>
          </w:tcPr>
          <w:p>
            <w:r>
              <w:rPr>
                <w:b/>
                <w:color w:val="FFFFFF"/>
                <w:sz w:val="20"/>
              </w:rPr>
              <w:t>Exception Scenario</w:t>
            </w:r>
          </w:p>
        </w:tc>
        <w:tc>
          <w:tcPr>
            <w:tcW w:type="dxa" w:w="2256"/>
            <w:shd w:val="clear" w:color="auto" w:fill="92400E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256"/>
            <w:shd w:val="clear" w:color="auto" w:fill="92400E"/>
          </w:tcPr>
          <w:p>
            <w:r>
              <w:rPr>
                <w:b/>
                <w:color w:val="FFFFFF"/>
                <w:sz w:val="20"/>
              </w:rPr>
              <w:t>Escalation Path</w:t>
            </w:r>
          </w:p>
        </w:tc>
        <w:tc>
          <w:tcPr>
            <w:tcW w:type="dxa" w:w="2256"/>
            <w:shd w:val="clear" w:color="auto" w:fill="92400E"/>
          </w:tcPr>
          <w:p>
            <w:r>
              <w:rPr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2256"/>
            <w:shd w:val="clear" w:color="auto" w:fill="F8F7FF"/>
          </w:tcPr>
          <w:p>
            <w:r>
              <w:rPr>
                <w:sz w:val="20"/>
              </w:rPr>
              <w:t>Employment Info tab not visible</w:t>
            </w:r>
          </w:p>
        </w:tc>
        <w:tc>
          <w:tcPr>
            <w:tcW w:type="dxa" w:w="2256"/>
            <w:shd w:val="clear" w:color="auto" w:fill="F8F7FF"/>
          </w:tcPr>
          <w:p>
            <w:r>
              <w:rPr>
                <w:sz w:val="20"/>
              </w:rPr>
              <w:t>SSHR permissions issue</w:t>
            </w:r>
          </w:p>
        </w:tc>
        <w:tc>
          <w:tcPr>
            <w:tcW w:type="dxa" w:w="2256"/>
            <w:shd w:val="clear" w:color="auto" w:fill="F8F7FF"/>
          </w:tcPr>
          <w:p>
            <w:r>
              <w:rPr>
                <w:sz w:val="20"/>
              </w:rPr>
              <w:t>Employee contacts HRIS Admin</w:t>
            </w:r>
          </w:p>
        </w:tc>
        <w:tc>
          <w:tcPr>
            <w:tcW w:type="dxa" w:w="2256"/>
            <w:shd w:val="clear" w:color="auto" w:fill="F8F7FF"/>
          </w:tcPr>
          <w:p>
            <w:r>
              <w:rPr>
                <w:sz w:val="20"/>
              </w:rPr>
              <w:t>HRIS Admin reviews self-service role-based permissions.</w:t>
            </w:r>
          </w:p>
        </w:tc>
      </w:tr>
      <w:tr>
        <w:tc>
          <w:tcPr>
            <w:tcW w:type="dxa" w:w="2256"/>
            <w:shd w:val="clear" w:color="auto" w:fill="FFFFFF"/>
          </w:tcPr>
          <w:p>
            <w:r>
              <w:rPr>
                <w:sz w:val="20"/>
              </w:rPr>
              <w:t>Grade shown is lower than contractual grade</w:t>
            </w:r>
          </w:p>
        </w:tc>
        <w:tc>
          <w:tcPr>
            <w:tcW w:type="dxa" w:w="2256"/>
            <w:shd w:val="clear" w:color="auto" w:fill="FFFFFF"/>
          </w:tcPr>
          <w:p>
            <w:r>
              <w:rPr>
                <w:sz w:val="20"/>
              </w:rPr>
              <w:t>Data entry error at hire/promotion</w:t>
            </w:r>
          </w:p>
        </w:tc>
        <w:tc>
          <w:tcPr>
            <w:tcW w:type="dxa" w:w="2256"/>
            <w:shd w:val="clear" w:color="auto" w:fill="FFFFFF"/>
          </w:tcPr>
          <w:p>
            <w:r>
              <w:rPr>
                <w:sz w:val="20"/>
              </w:rPr>
              <w:t>Employee escalates to HR Specialist immediately</w:t>
            </w:r>
          </w:p>
        </w:tc>
        <w:tc>
          <w:tcPr>
            <w:tcW w:type="dxa" w:w="2256"/>
            <w:shd w:val="clear" w:color="auto" w:fill="FFFFFF"/>
          </w:tcPr>
          <w:p>
            <w:r>
              <w:rPr>
                <w:sz w:val="20"/>
              </w:rPr>
              <w:t>HR Specialist corrects via Change Assignment or Promote action.</w:t>
            </w:r>
          </w:p>
        </w:tc>
      </w:tr>
      <w:tr>
        <w:tc>
          <w:tcPr>
            <w:tcW w:type="dxa" w:w="2256"/>
            <w:shd w:val="clear" w:color="auto" w:fill="F8F7FF"/>
          </w:tcPr>
          <w:p>
            <w:r>
              <w:rPr>
                <w:sz w:val="20"/>
              </w:rPr>
              <w:t>FTE shown as 0 (zero)</w:t>
            </w:r>
          </w:p>
        </w:tc>
        <w:tc>
          <w:tcPr>
            <w:tcW w:type="dxa" w:w="2256"/>
            <w:shd w:val="clear" w:color="auto" w:fill="F8F7FF"/>
          </w:tcPr>
          <w:p>
            <w:r>
              <w:rPr>
                <w:sz w:val="20"/>
              </w:rPr>
              <w:t>Assignment error</w:t>
            </w:r>
          </w:p>
        </w:tc>
        <w:tc>
          <w:tcPr>
            <w:tcW w:type="dxa" w:w="2256"/>
            <w:shd w:val="clear" w:color="auto" w:fill="F8F7FF"/>
          </w:tcPr>
          <w:p>
            <w:r>
              <w:rPr>
                <w:sz w:val="20"/>
              </w:rPr>
              <w:t>Escalate to HR Specialist — payroll impact</w:t>
            </w:r>
          </w:p>
        </w:tc>
        <w:tc>
          <w:tcPr>
            <w:tcW w:type="dxa" w:w="2256"/>
            <w:shd w:val="clear" w:color="auto" w:fill="F8F7FF"/>
          </w:tcPr>
          <w:p>
            <w:r>
              <w:rPr>
                <w:sz w:val="20"/>
              </w:rPr>
              <w:t>HR Specialist corrects FTE immediately to prevent payroll error.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Employee discrepancy escalations resolved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≤ 2 business days from report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HR request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Employment data completeness rate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100% mandatory fields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Monthly HRIS audit</w:t>
            </w:r>
          </w:p>
        </w:tc>
      </w:tr>
    </w:tbl>
    <w:p/>
    <w:p>
      <w:pPr>
        <w:pStyle w:val="Heading2"/>
      </w:pPr>
      <w:r>
        <w:t>12. Risks &amp;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991B1B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256"/>
            <w:shd w:val="clear" w:color="auto" w:fill="991B1B"/>
          </w:tcPr>
          <w:p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2256"/>
            <w:shd w:val="clear" w:color="auto" w:fill="991B1B"/>
          </w:tcPr>
          <w:p>
            <w:r>
              <w:rPr>
                <w:b/>
                <w:color w:val="FFFFFF"/>
                <w:sz w:val="20"/>
              </w:rPr>
              <w:t>Control Measure</w:t>
            </w:r>
          </w:p>
        </w:tc>
        <w:tc>
          <w:tcPr>
            <w:tcW w:type="dxa" w:w="2256"/>
            <w:shd w:val="clear" w:color="auto" w:fill="991B1B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256"/>
            <w:shd w:val="clear" w:color="auto" w:fill="F8F7FF"/>
          </w:tcPr>
          <w:p>
            <w:r>
              <w:rPr>
                <w:sz w:val="20"/>
              </w:rPr>
              <w:t>Incorrect grade — payroll band non-compliance</w:t>
            </w:r>
          </w:p>
        </w:tc>
        <w:tc>
          <w:tcPr>
            <w:tcW w:type="dxa" w:w="2256"/>
            <w:shd w:val="clear" w:color="auto" w:fill="F8F7FF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256"/>
            <w:shd w:val="clear" w:color="auto" w:fill="F8F7FF"/>
          </w:tcPr>
          <w:p>
            <w:r>
              <w:rPr>
                <w:sz w:val="20"/>
              </w:rPr>
              <w:t>Grade field audit; HR validation at lifecycle events</w:t>
            </w:r>
          </w:p>
        </w:tc>
        <w:tc>
          <w:tcPr>
            <w:tcW w:type="dxa" w:w="2256"/>
            <w:shd w:val="clear" w:color="auto" w:fill="F8F7FF"/>
          </w:tcPr>
          <w:p>
            <w:r>
              <w:rPr>
                <w:sz w:val="20"/>
              </w:rPr>
              <w:t>HR Specialist / Payroll</w:t>
            </w:r>
          </w:p>
        </w:tc>
      </w:tr>
      <w:tr>
        <w:tc>
          <w:tcPr>
            <w:tcW w:type="dxa" w:w="2256"/>
            <w:shd w:val="clear" w:color="auto" w:fill="FFFFFF"/>
          </w:tcPr>
          <w:p>
            <w:r>
              <w:rPr>
                <w:sz w:val="20"/>
              </w:rPr>
              <w:t>Incorrect FTE — payroll calculation error</w:t>
            </w:r>
          </w:p>
        </w:tc>
        <w:tc>
          <w:tcPr>
            <w:tcW w:type="dxa" w:w="2256"/>
            <w:shd w:val="clear" w:color="auto" w:fill="FFFFFF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256"/>
            <w:shd w:val="clear" w:color="auto" w:fill="FFFFFF"/>
          </w:tcPr>
          <w:p>
            <w:r>
              <w:rPr>
                <w:sz w:val="20"/>
              </w:rPr>
              <w:t>FTE audit before payroll run</w:t>
            </w:r>
          </w:p>
        </w:tc>
        <w:tc>
          <w:tcPr>
            <w:tcW w:type="dxa" w:w="2256"/>
            <w:shd w:val="clear" w:color="auto" w:fill="FFFFFF"/>
          </w:tcPr>
          <w:p>
            <w:r>
              <w:rPr>
                <w:sz w:val="20"/>
              </w:rPr>
              <w:t>HR Operations / Payroll</w:t>
            </w:r>
          </w:p>
        </w:tc>
      </w:tr>
    </w:tbl>
    <w:p/>
    <w:p>
      <w:pPr>
        <w:pStyle w:val="Heading2"/>
      </w:pPr>
      <w:r>
        <w:t>13. Dependencies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SOP-HCM-HS-018: Employment Info (HR Specialist) — all edits processed by HR.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SOP-HCM-002A/B: Promote — grade and job updated on promotion.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SOP-HCM-003A/B: Transfer — department and location updated on transfer.</w:t>
      </w:r>
    </w:p>
    <w:p>
      <w:pPr>
        <w:pStyle w:val="Heading2"/>
      </w:pPr>
      <w:r>
        <w:t>14.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PM_EE_07_Employment_Information — Process Map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PM_HS_18_Employment_Info — HR Specialist Process Map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SOP-HCM-HS-018: Employment Information – HR Specialist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UG-HCM-EE-007_Employment_Information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p>
      <w:r>
        <w:br w:type="page"/>
      </w:r>
    </w:p>
    <w:p>
      <w:pPr>
        <w:pStyle w:val="Heading1"/>
      </w:pPr>
      <w:r>
        <w:t>Approval Sign-Off</w:t>
      </w:r>
    </w:p>
    <w:p>
      <w:pPr>
        <w:spacing w:after="80"/>
      </w:pPr>
      <w:r>
        <w:rPr>
          <w:rFonts w:ascii="Calibri" w:hAnsi="Calibri"/>
          <w:sz w:val="22"/>
        </w:rPr>
        <w:t>This Standard Operating Procedure has been reviewed and approved by the following stakeholders. Signatures confirm that the content has been validated for accuracy, completeness, and operational alignment.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2D2B55"/>
          </w:tcPr>
          <w:p>
            <w:r>
              <w:rPr>
                <w:b/>
                <w:color w:val="FFFFFF"/>
                <w:sz w:val="22"/>
              </w:rPr>
              <w:t>Role</w:t>
            </w:r>
          </w:p>
        </w:tc>
        <w:tc>
          <w:tcPr>
            <w:tcW w:type="dxa" w:w="2256"/>
            <w:shd w:val="clear" w:color="auto" w:fill="2D2B55"/>
          </w:tcPr>
          <w:p>
            <w:r>
              <w:rPr>
                <w:b/>
                <w:color w:val="FFFFFF"/>
                <w:sz w:val="22"/>
              </w:rPr>
              <w:t>Name</w:t>
            </w:r>
          </w:p>
        </w:tc>
        <w:tc>
          <w:tcPr>
            <w:tcW w:type="dxa" w:w="2256"/>
            <w:shd w:val="clear" w:color="auto" w:fill="2D2B55"/>
          </w:tcPr>
          <w:p>
            <w:r>
              <w:rPr>
                <w:b/>
                <w:color w:val="FFFFFF"/>
                <w:sz w:val="22"/>
              </w:rPr>
              <w:t>Signature</w:t>
            </w:r>
          </w:p>
        </w:tc>
        <w:tc>
          <w:tcPr>
            <w:tcW w:type="dxa" w:w="2256"/>
            <w:shd w:val="clear" w:color="auto" w:fill="2D2B55"/>
          </w:tcPr>
          <w:p>
            <w:r>
              <w:rPr>
                <w:b/>
                <w:color w:val="FFFFFF"/>
                <w:sz w:val="22"/>
              </w:rPr>
              <w:t>Date</w:t>
            </w:r>
          </w:p>
        </w:tc>
      </w:tr>
      <w:tr>
        <w:tc>
          <w:tcPr>
            <w:tcW w:type="dxa" w:w="2256"/>
            <w:shd w:val="clear" w:color="auto" w:fill="F8F7FF"/>
          </w:tcPr>
          <w:p>
            <w:r>
              <w:t>Process Owner / HR Operations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  <w:shd w:val="clear" w:color="auto" w:fill="F8F7FF"/>
          </w:tcPr>
          <w:p>
            <w:r>
              <w:t>HRBP / HR Director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  <w:shd w:val="clear" w:color="auto" w:fill="F8F7FF"/>
          </w:tcPr>
          <w:p>
            <w:r>
              <w:t>CHRO / Approving Authority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  <w:shd w:val="clear" w:color="auto" w:fill="F8F7FF"/>
          </w:tcPr>
          <w:p>
            <w:r>
              <w:t>HRIS Administrator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Warning:  </w:t>
      </w:r>
      <w:r>
        <w:rPr>
          <w:rFonts w:ascii="Calibri" w:hAnsi="Calibri"/>
          <w:color w:val="111827"/>
          <w:sz w:val="20"/>
        </w:rPr>
        <w:t>This document is CONFIDENTIAL and intended for internal DMG use only. Any external distribution requires written approval from the CHRO.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43EB38CAB3C48B7CFC62BA1EEFCE0" ma:contentTypeVersion="7" ma:contentTypeDescription="Create a new document." ma:contentTypeScope="" ma:versionID="abc323d0683bc83ae6869a758ecb891c">
  <xsd:schema xmlns:xsd="http://www.w3.org/2001/XMLSchema" xmlns:xs="http://www.w3.org/2001/XMLSchema" xmlns:p="http://schemas.microsoft.com/office/2006/metadata/properties" xmlns:ns2="e32645b4-328d-4a37-aecf-3a7fa3b35859" targetNamespace="http://schemas.microsoft.com/office/2006/metadata/properties" ma:root="true" ma:fieldsID="98541f00271e346a25aa7337283c2f1c" ns2:_="">
    <xsd:import namespace="e32645b4-328d-4a37-aecf-3a7fa3b358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645b4-328d-4a37-aecf-3a7fa3b35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6CBE0A-B8CE-461A-915E-3175C7EE556E}"/>
</file>

<file path=customXml/itemProps3.xml><?xml version="1.0" encoding="utf-8"?>
<ds:datastoreItem xmlns:ds="http://schemas.openxmlformats.org/officeDocument/2006/customXml" ds:itemID="{8D28C960-B8EE-48E9-BC6B-EBEB3364EC31}"/>
</file>

<file path=customXml/itemProps4.xml><?xml version="1.0" encoding="utf-8"?>
<ds:datastoreItem xmlns:ds="http://schemas.openxmlformats.org/officeDocument/2006/customXml" ds:itemID="{CF98CF9B-6C5C-41F9-92EE-DFBDCB21A5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0x01010088643EB38CAB3C48B7CFC62BA1EEFCE0</vt:lpwstr>
  </property>
</Properties>
</file>