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/>
    <w:p/>
    <w:p>
      <w:pPr>
        <w:jc w:val="center"/>
        <w:shd w:val="clear" w:color="auto" w:fill="DBEAFE"/>
      </w:pPr>
      <w:r>
        <w:rPr>
          <w:rFonts w:ascii="Calibri" w:hAnsi="Calibri"/>
          <w:b/>
          <w:color w:val="2D2B55"/>
          <w:sz w:val="20"/>
        </w:rPr>
        <w:t xml:space="preserve">  ROLE: PAYROLL ADMIN  </w:t>
      </w:r>
    </w:p>
    <w:p/>
    <w:p>
      <w:pPr>
        <w:jc w:val="center"/>
      </w:pPr>
      <w:r>
        <w:rPr>
          <w:rFonts w:ascii="Calibri" w:hAnsi="Calibri"/>
          <w:b/>
          <w:color w:val="5B5BD6"/>
          <w:sz w:val="28"/>
        </w:rPr>
        <w:t>HR PROCESS PORTAL</w:t>
      </w:r>
    </w:p>
    <w:p>
      <w:pPr>
        <w:jc w:val="center"/>
      </w:pPr>
      <w:r>
        <w:rPr>
          <w:rFonts w:ascii="Calibri" w:hAnsi="Calibri"/>
          <w:color w:val="6B7280"/>
          <w:sz w:val="22"/>
        </w:rPr>
        <w:t>Oracle HCM Fusion</w:t>
      </w:r>
    </w:p>
    <w:p/>
    <w:p/>
    <w:p>
      <w:pPr>
        <w:jc w:val="center"/>
      </w:pPr>
      <w:r>
        <w:rPr>
          <w:rFonts w:ascii="Calibri" w:hAnsi="Calibri"/>
          <w:b/>
          <w:color w:val="7C3AED"/>
          <w:sz w:val="22"/>
        </w:rPr>
        <w:t>SOP-PAY-002</w:t>
      </w:r>
    </w:p>
    <w:p>
      <w:pPr>
        <w:jc w:val="center"/>
      </w:pPr>
      <w:r>
        <w:rPr>
          <w:rFonts w:ascii="Calibri" w:hAnsi="Calibri"/>
          <w:b/>
          <w:color w:val="2D2B55"/>
          <w:sz w:val="48"/>
        </w:rPr>
        <w:t>Personal Payment Methods</w:t>
      </w:r>
    </w:p>
    <w:p>
      <w:pPr>
        <w:jc w:val="center"/>
      </w:pPr>
      <w:r>
        <w:rPr>
          <w:rFonts w:ascii="Calibri" w:hAnsi="Calibri"/>
          <w:color w:val="6B7280"/>
          <w:sz w:val="24"/>
        </w:rPr>
        <w:t>Payroll Admin | Oracle HCM Payroll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SOP Reference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SOP-PAY-002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Payroll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Classification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Internal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System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Oracle HCM Fusion</w:t>
            </w:r>
          </w:p>
        </w:tc>
      </w:tr>
    </w:tbl>
    <w:p>
      <w:r>
        <w:br w:type="page"/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Document ID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SOP-PAY-002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Title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Personal Payment Methods – Payroll Admin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Payroll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Approved By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CFO / Finance Director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Next Review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2027</w:t>
            </w:r>
          </w:p>
        </w:tc>
      </w:tr>
    </w:tbl>
    <w:p/>
    <w:p>
      <w:pPr>
        <w:pStyle w:val="Heading2"/>
      </w:pPr>
      <w:r>
        <w:t>2. Purpose</w:t>
      </w:r>
    </w:p>
    <w:p>
      <w:pPr>
        <w:spacing w:after="80"/>
      </w:pPr>
      <w:r>
        <w:rPr>
          <w:rFonts w:ascii="Calibri" w:hAnsi="Calibri"/>
          <w:sz w:val="22"/>
        </w:rPr>
        <w:t>This SOP defines how a Payroll Administrator maintains Personal Payment Methods for employees in Oracle HCM Payroll. Payment methods define how and where the employee's net pay is disbursed (e.g., bank transfer / EFT details). This must be correctly configured before the Make EFT Payments process can execute successfully.</w:t>
      </w:r>
    </w:p>
    <w:p>
      <w:pPr>
        <w:pStyle w:val="Heading2"/>
      </w:pPr>
      <w:r>
        <w:t>3. Scope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Setting up new payment methods for employees (bank account details for EFT).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Updating existing payment methods (e.g., bank account change).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All employees on the payroll in scope.</w:t>
      </w:r>
    </w:p>
    <w:p>
      <w:pPr>
        <w:pStyle w:val="Heading2"/>
      </w:pPr>
      <w:r>
        <w:t>4. Prerequisites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Employee has an active Payroll Relationship (SOP-PAY-001).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Employee bank account details verified and confirmed in writing.</w:t>
      </w:r>
    </w:p>
    <w:p>
      <w:pPr>
        <w:pStyle w:val="Heading2"/>
      </w:pPr>
      <w:r>
        <w:t>5.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System Access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Key Responsibilities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Payroll Admin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Setup Owner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Create and maintain payment method records for all employees.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HR Specialist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Data Source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Collect and verify employee bank account details during onboarding.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Finance / Treasury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Validation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Verify bank routing details and confirm EFT file compatibility.</w:t>
            </w:r>
          </w:p>
        </w:tc>
      </w:tr>
    </w:tbl>
    <w:p/>
    <w:p>
      <w:pPr>
        <w:pStyle w:val="Heading2"/>
      </w:pPr>
      <w:r>
        <w:t>6. Navigation Path</w:t>
      </w:r>
    </w:p>
    <w:p>
      <w:pPr>
        <w:shd w:val="clear" w:color="auto" w:fill="CCFBF1"/>
        <w:spacing w:before="80" w:after="160"/>
      </w:pPr>
      <w:r>
        <w:rPr>
          <w:rFonts w:ascii="Calibri" w:hAnsi="Calibri"/>
          <w:b/>
          <w:color w:val="0F766E"/>
          <w:sz w:val="20"/>
        </w:rPr>
        <w:t xml:space="preserve">Oracle HCM Tip:  </w:t>
      </w:r>
      <w:r>
        <w:rPr>
          <w:rFonts w:ascii="Calibri" w:hAnsi="Calibri"/>
          <w:color w:val="111827"/>
          <w:sz w:val="20"/>
        </w:rPr>
        <w:t>My Client Groups → Payroll icon → Search: "Personal Payment Methods" → Click Personal Payment Methods task</w:t>
      </w:r>
    </w:p>
    <w:p>
      <w:pPr>
        <w:pStyle w:val="Heading2"/>
      </w:pPr>
      <w:r>
        <w:t>7. Step-by-Step: Adding a Personal Payment Method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Navigate to My Client Groups → Payroll icon.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My Client Groups → Payroll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work area opens.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Search for "Personal Payment Methods". Click the task.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Search → Personal Payment Methods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Personal Payment Methods search opens.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Search for the employee. Click the employee record to open their payment methods page.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Search → Employee record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 payment methods page displayed.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Add.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Add button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New payment method form opens.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Enter the required details: Payment Method Type (EFT/Bank Transfer), Bank Name, Account Number, IBAN, Branch Code, Account Type.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Payment method fields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Bank details entered.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6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Set the percentage or amount to be paid to this method (100% if single account).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Percentage / Amount field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Distribution defined.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7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Click Create (or Save). The payment method is active.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Create / Save button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Payment method saved. Employee will receive EFT payments to this account.</w:t>
            </w:r>
          </w:p>
        </w:tc>
      </w:tr>
    </w:tbl>
    <w:p/>
    <w:p>
      <w:pPr>
        <w:shd w:val="clear" w:color="auto" w:fill="FEE2E2"/>
        <w:spacing w:before="80" w:after="160"/>
      </w:pPr>
      <w:r>
        <w:rPr>
          <w:rFonts w:ascii="Calibri" w:hAnsi="Calibri"/>
          <w:b/>
          <w:color w:val="991B1B"/>
          <w:sz w:val="20"/>
        </w:rPr>
        <w:t xml:space="preserve">Warning:  </w:t>
      </w:r>
      <w:r>
        <w:rPr>
          <w:rFonts w:ascii="Calibri" w:hAnsi="Calibri"/>
          <w:color w:val="111827"/>
          <w:sz w:val="20"/>
        </w:rPr>
        <w:t>Never enter bank details from verbal instructions alone. Always require written confirmation signed by the employee or HR. Changes to bank details are high-risk and must follow the payroll data change control procedure.</w:t>
      </w:r>
    </w:p>
    <w:p>
      <w:pPr>
        <w:pStyle w:val="Heading2"/>
      </w:pPr>
      <w:r>
        <w:t>8. SLAs &amp;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KPI / Metric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Measurement Source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New hire payment method setup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≤ 3 business days from hire confirmation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Payroll setup checklist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Bank detail change processing SLA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≤ 1 payroll cycle from written request receipt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Payroll request log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Employees without active payment method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Monthly payroll audit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EFT payment rejections (wrong bank details)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&lt; 0.5% per cycle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EFT settlement report</w:t>
            </w:r>
          </w:p>
        </w:tc>
      </w:tr>
    </w:tbl>
    <w:p/>
    <w:p>
      <w:pPr>
        <w:pStyle w:val="Heading2"/>
      </w:pPr>
      <w:r>
        <w:t>9. Related Documents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SOP-PAY-001: Employee Payroll Relationship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SOP-PAY-012: Make EFT Payments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Oracle HCM User Guide: Payroll – Personal Payment Methods</w:t>
      </w:r>
    </w:p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Version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Date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Author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Description</w:t>
            </w:r>
          </w:p>
        </w:tc>
      </w:tr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April 2026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HR Operations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Initial release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D2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5B5B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7C3AE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