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hd w:val="clear" w:color="auto" w:fill="2D2B55"/>
        <w:spacing w:before="0" w:after="0"/>
      </w:pPr>
    </w:p>
    <w:p>
      <w:pPr>
        <w:shd w:val="clear" w:color="auto" w:fill="2D2B55"/>
        <w:spacing w:before="0" w:after="0"/>
      </w:pPr>
    </w:p>
    <w:p>
      <w:pPr>
        <w:shd w:val="clear" w:color="auto" w:fill="2D2B55"/>
        <w:spacing w:before="0" w:after="0"/>
      </w:pPr>
    </w:p>
    <w:p/>
    <w:p/>
    <w:p>
      <w:pPr>
        <w:jc w:val="center"/>
        <w:shd w:val="clear" w:color="auto" w:fill="DBEAFE"/>
      </w:pPr>
      <w:r>
        <w:rPr>
          <w:rFonts w:ascii="Calibri" w:hAnsi="Calibri"/>
          <w:b/>
          <w:color w:val="2D2B55"/>
          <w:sz w:val="20"/>
        </w:rPr>
        <w:t xml:space="preserve">  ROLE: PAYROLL ADMIN  </w:t>
      </w:r>
    </w:p>
    <w:p/>
    <w:p>
      <w:pPr>
        <w:jc w:val="center"/>
      </w:pPr>
      <w:r>
        <w:rPr>
          <w:rFonts w:ascii="Calibri" w:hAnsi="Calibri"/>
          <w:b/>
          <w:color w:val="5B5BD6"/>
          <w:sz w:val="28"/>
        </w:rPr>
        <w:t>HR PROCESS PORTAL</w:t>
      </w:r>
    </w:p>
    <w:p>
      <w:pPr>
        <w:jc w:val="center"/>
      </w:pPr>
      <w:r>
        <w:rPr>
          <w:rFonts w:ascii="Calibri" w:hAnsi="Calibri"/>
          <w:color w:val="6B7280"/>
          <w:sz w:val="22"/>
        </w:rPr>
        <w:t>Oracle HCM Fusion</w:t>
      </w:r>
    </w:p>
    <w:p/>
    <w:p/>
    <w:p>
      <w:pPr>
        <w:jc w:val="center"/>
      </w:pPr>
      <w:r>
        <w:rPr>
          <w:rFonts w:ascii="Calibri" w:hAnsi="Calibri"/>
          <w:b/>
          <w:color w:val="7C3AED"/>
          <w:sz w:val="22"/>
        </w:rPr>
        <w:t>SOP-PAY-003</w:t>
      </w:r>
    </w:p>
    <w:p>
      <w:pPr>
        <w:jc w:val="center"/>
      </w:pPr>
      <w:r>
        <w:rPr>
          <w:rFonts w:ascii="Calibri" w:hAnsi="Calibri"/>
          <w:b/>
          <w:color w:val="2D2B55"/>
          <w:sz w:val="48"/>
        </w:rPr>
        <w:t>Manage Employee Salary</w:t>
      </w:r>
    </w:p>
    <w:p>
      <w:pPr>
        <w:jc w:val="center"/>
      </w:pPr>
      <w:r>
        <w:rPr>
          <w:rFonts w:ascii="Calibri" w:hAnsi="Calibri"/>
          <w:color w:val="6B7280"/>
          <w:sz w:val="24"/>
        </w:rPr>
        <w:t>Payroll Admin | Oracle HCM Payroll</w:t>
      </w:r>
    </w:p>
    <w:p/>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SOP Reference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SOP-PAY-003</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Payroll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Classification</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Internal</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System</w:t>
            </w:r>
          </w:p>
        </w:tc>
        <w:tc>
          <w:tcPr>
            <w:tcW w:type="dxa" w:w="5102"/>
            <w:tcBorders>
              <w:top w:val="single" w:sz="4" w:space="0" w:color="C4B5FD"/>
              <w:left w:val="single" w:sz="4" w:space="0" w:color="C4B5FD"/>
              <w:bottom w:val="single" w:sz="4" w:space="0" w:color="C4B5FD"/>
              <w:right w:val="single" w:sz="4" w:space="0" w:color="C4B5FD"/>
            </w:tcBorders>
          </w:tcPr>
          <w:p>
            <w:r>
              <w:rPr>
                <w:rFonts w:ascii="Calibri" w:hAnsi="Calibri"/>
                <w:sz w:val="20"/>
              </w:rPr>
              <w:t>Oracle HCM Fusion</w:t>
            </w:r>
          </w:p>
        </w:tc>
      </w:tr>
    </w:tbl>
    <w:p>
      <w:r>
        <w:br w:type="page"/>
      </w:r>
    </w:p>
    <w:p>
      <w:pPr>
        <w:pStyle w:val="Heading2"/>
      </w:pPr>
      <w:r>
        <w:t>1. Document Control</w:t>
      </w:r>
    </w:p>
    <w:tbl>
      <w:tblPr>
        <w:tblStyle w:val="TableGrid"/>
        <w:tblW w:type="auto" w:w="0"/>
        <w:tblLook w:firstColumn="1" w:firstRow="1" w:lastColumn="0" w:lastRow="0" w:noHBand="0" w:noVBand="1" w:val="04A0"/>
      </w:tblPr>
      <w:tblGrid>
        <w:gridCol w:w="4513"/>
        <w:gridCol w:w="4513"/>
      </w:tblGrid>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Document ID</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SOP-PAY-003</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Title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Manage Employee Salary – Payroll Admin</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Version</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1.0</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Effective Date</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2026</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Process Owner</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Payroll Operations</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Approved By</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CFO / Finance Director</w:t>
            </w:r>
          </w:p>
        </w:tc>
      </w:tr>
      <w:tr>
        <w:tc>
          <w:tcPr>
            <w:tcW w:type="dxa" w:w="283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20"/>
              </w:rPr>
              <w:t>Next Review</w:t>
            </w:r>
          </w:p>
        </w:tc>
        <w:tc>
          <w:tcPr>
            <w:tcW w:type="dxa" w:w="7710"/>
            <w:tcBorders>
              <w:top w:val="single" w:sz="4" w:space="0" w:color="C4B5FD"/>
              <w:left w:val="single" w:sz="4" w:space="0" w:color="C4B5FD"/>
              <w:bottom w:val="single" w:sz="4" w:space="0" w:color="C4B5FD"/>
              <w:right w:val="single" w:sz="4" w:space="0" w:color="C4B5FD"/>
            </w:tcBorders>
          </w:tcPr>
          <w:p>
            <w:r>
              <w:rPr>
                <w:rFonts w:ascii="Calibri" w:hAnsi="Calibri"/>
                <w:sz w:val="20"/>
              </w:rPr>
              <w:t>April 2027</w:t>
            </w:r>
          </w:p>
        </w:tc>
      </w:tr>
    </w:tbl>
    <w:p/>
    <w:p>
      <w:pPr>
        <w:pStyle w:val="Heading2"/>
      </w:pPr>
      <w:r>
        <w:t>2. Purpose</w:t>
      </w:r>
    </w:p>
    <w:p>
      <w:pPr>
        <w:spacing w:after="80"/>
      </w:pPr>
      <w:r>
        <w:rPr>
          <w:rFonts w:ascii="Calibri" w:hAnsi="Calibri"/>
          <w:sz w:val="22"/>
        </w:rPr>
        <w:t>This SOP defines how a Payroll Administrator manages (creates and updates) employee salary in Oracle HCM. This process is used to set initial salary upon hire, apply approved salary changes (increments, promotions, corrections), and adjust compensation as directed by HR and approved by management.</w:t>
      </w:r>
    </w:p>
    <w:p>
      <w:pPr>
        <w:pStyle w:val="Heading2"/>
      </w:pPr>
      <w:r>
        <w:t>3. Scope</w:t>
      </w:r>
    </w:p>
    <w:p>
      <w:pPr>
        <w:pStyle w:val="ListBullet"/>
        <w:spacing w:after="60"/>
      </w:pPr>
      <w:r>
        <w:rPr>
          <w:rFonts w:ascii="Calibri" w:hAnsi="Calibri"/>
          <w:sz w:val="22"/>
        </w:rPr>
        <w:t>Initial salary entry for new hires.</w:t>
      </w:r>
    </w:p>
    <w:p>
      <w:pPr>
        <w:pStyle w:val="ListBullet"/>
        <w:spacing w:after="60"/>
      </w:pPr>
      <w:r>
        <w:rPr>
          <w:rFonts w:ascii="Calibri" w:hAnsi="Calibri"/>
          <w:sz w:val="22"/>
        </w:rPr>
        <w:t>Processing approved salary changes: increments, promotions, market adjustments, corrections.</w:t>
      </w:r>
    </w:p>
    <w:p>
      <w:pPr>
        <w:pStyle w:val="ListBullet"/>
        <w:spacing w:after="60"/>
      </w:pPr>
      <w:r>
        <w:rPr>
          <w:rFonts w:ascii="Calibri" w:hAnsi="Calibri"/>
          <w:sz w:val="22"/>
        </w:rPr>
        <w:t>All employees on Oracle HCM Payroll.</w:t>
      </w:r>
    </w:p>
    <w:p>
      <w:pPr>
        <w:pStyle w:val="Heading2"/>
      </w:pPr>
      <w:r>
        <w:t>4. Prerequisites</w:t>
      </w:r>
    </w:p>
    <w:p>
      <w:pPr>
        <w:pStyle w:val="ListBullet"/>
        <w:spacing w:after="60"/>
      </w:pPr>
      <w:r>
        <w:rPr>
          <w:rFonts w:ascii="Calibri" w:hAnsi="Calibri"/>
          <w:sz w:val="22"/>
        </w:rPr>
        <w:t>Written salary change approval received from HR, Compensation team, and relevant authority.</w:t>
      </w:r>
    </w:p>
    <w:p>
      <w:pPr>
        <w:pStyle w:val="ListBullet"/>
        <w:spacing w:after="60"/>
      </w:pPr>
      <w:r>
        <w:rPr>
          <w:rFonts w:ascii="Calibri" w:hAnsi="Calibri"/>
          <w:sz w:val="22"/>
        </w:rPr>
        <w:t>New salary amount and effective date confirmed.</w:t>
      </w:r>
    </w:p>
    <w:p>
      <w:pPr>
        <w:pStyle w:val="ListBullet"/>
        <w:spacing w:after="60"/>
      </w:pPr>
      <w:r>
        <w:rPr>
          <w:rFonts w:ascii="Calibri" w:hAnsi="Calibri"/>
          <w:sz w:val="22"/>
        </w:rPr>
        <w:t>Salary Basis configured for the employee's grade and payroll.</w:t>
      </w:r>
    </w:p>
    <w:p>
      <w:pPr>
        <w:pStyle w:val="Heading2"/>
      </w:pPr>
      <w:r>
        <w:t>5. Roles &amp; Responsibilities</w:t>
      </w:r>
    </w:p>
    <w:tbl>
      <w:tblPr>
        <w:tblStyle w:val="TableGrid"/>
        <w:tblW w:type="auto" w:w="0"/>
        <w:tblLook w:firstColumn="1" w:firstRow="1" w:lastColumn="0" w:lastRow="0" w:noHBand="0" w:noVBand="1" w:val="04A0"/>
      </w:tblPr>
      <w:tblGrid>
        <w:gridCol w:w="3009"/>
        <w:gridCol w:w="3009"/>
        <w:gridCol w:w="3009"/>
      </w:tblGrid>
      <w:tr>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Role</w:t>
            </w:r>
          </w:p>
        </w:tc>
        <w:tc>
          <w:tcPr>
            <w:tcW w:type="dxa" w:w="2154"/>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System Access</w:t>
            </w:r>
          </w:p>
        </w:tc>
        <w:tc>
          <w:tcPr>
            <w:tcW w:type="dxa" w:w="6236"/>
            <w:tcBorders>
              <w:top w:val="single" w:sz="4" w:space="0" w:color="C4B5FD"/>
              <w:left w:val="single" w:sz="4" w:space="0" w:color="C4B5FD"/>
              <w:bottom w:val="single" w:sz="4" w:space="0" w:color="C4B5FD"/>
              <w:right w:val="single" w:sz="4" w:space="0" w:color="C4B5FD"/>
            </w:tcBorders>
            <w:shd w:val="clear" w:color="auto" w:fill="5B5BD6"/>
          </w:tcPr>
          <w:p>
            <w:r>
              <w:rPr>
                <w:rFonts w:ascii="Calibri" w:hAnsi="Calibri"/>
                <w:b/>
                <w:color w:val="FFFFFF"/>
                <w:sz w:val="18"/>
              </w:rPr>
              <w:t>Key Responsibilities</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Payroll Admin</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Salary Entry Owner</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Enter and update salary in Oracle HCM following written approval.</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HR Specialist / Compensation</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Approval Authority</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Provide written salary change approval with exact amount and effective date.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HRBP</w:t>
            </w:r>
          </w:p>
        </w:tc>
        <w:tc>
          <w:tcPr>
            <w:tcW w:type="dxa" w:w="215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Sign-Off</w:t>
            </w:r>
          </w:p>
        </w:tc>
        <w:tc>
          <w:tcPr>
            <w:tcW w:type="dxa" w:w="623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Authorise changes outside standard increment cycle.</w:t>
            </w:r>
          </w:p>
        </w:tc>
      </w:tr>
      <w:tr>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Finance</w:t>
            </w:r>
          </w:p>
        </w:tc>
        <w:tc>
          <w:tcPr>
            <w:tcW w:type="dxa" w:w="215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Budget Owner</w:t>
            </w:r>
          </w:p>
        </w:tc>
        <w:tc>
          <w:tcPr>
            <w:tcW w:type="dxa" w:w="6236"/>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Confirm salary change is within approved headcount budget.</w:t>
            </w:r>
          </w:p>
        </w:tc>
      </w:tr>
    </w:tbl>
    <w:p/>
    <w:p>
      <w:pPr>
        <w:pStyle w:val="Heading2"/>
      </w:pPr>
      <w:r>
        <w:t>6. Navigation Path</w:t>
      </w:r>
    </w:p>
    <w:p>
      <w:pPr>
        <w:shd w:val="clear" w:color="auto" w:fill="CCFBF1"/>
        <w:spacing w:before="80" w:after="160"/>
      </w:pPr>
      <w:r>
        <w:rPr>
          <w:rFonts w:ascii="Calibri" w:hAnsi="Calibri"/>
          <w:b/>
          <w:color w:val="0F766E"/>
          <w:sz w:val="20"/>
        </w:rPr>
        <w:t xml:space="preserve">Oracle HCM Tip:  </w:t>
      </w:r>
      <w:r>
        <w:rPr>
          <w:rFonts w:ascii="Calibri" w:hAnsi="Calibri"/>
          <w:color w:val="111827"/>
          <w:sz w:val="20"/>
        </w:rPr>
        <w:t>My Client Groups → Person Management → Search Employee → Actions → Compensation → Change Salary</w:t>
      </w:r>
    </w:p>
    <w:p>
      <w:pPr>
        <w:pStyle w:val="Heading2"/>
      </w:pPr>
      <w:r>
        <w:t>7. Step-by-Step: Managing Employee Salary</w:t>
      </w:r>
    </w:p>
    <w:tbl>
      <w:tblPr>
        <w:tblStyle w:val="TableGrid"/>
        <w:tblW w:type="auto" w:w="0"/>
        <w:jc w:val="left"/>
        <w:tblLook w:firstColumn="1" w:firstRow="1" w:lastColumn="0" w:lastRow="0" w:noHBand="0" w:noVBand="1" w:val="04A0"/>
      </w:tblPr>
      <w:tblGrid>
        <w:gridCol w:w="1805"/>
        <w:gridCol w:w="1805"/>
        <w:gridCol w:w="1805"/>
        <w:gridCol w:w="1805"/>
        <w:gridCol w:w="1805"/>
      </w:tblGrid>
      <w:tr>
        <w:tc>
          <w:tcPr>
            <w:tcW w:type="dxa" w:w="6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Step</w:t>
            </w:r>
          </w:p>
        </w:tc>
        <w:tc>
          <w:tcPr>
            <w:tcW w:type="dxa" w:w="3175"/>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Action / Description</w:t>
            </w:r>
          </w:p>
        </w:tc>
        <w:tc>
          <w:tcPr>
            <w:tcW w:type="dxa" w:w="170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Responsible</w:t>
            </w:r>
          </w:p>
        </w:tc>
        <w:tc>
          <w:tcPr>
            <w:tcW w:type="dxa" w:w="2721"/>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Oracle HCM Navigation</w:t>
            </w:r>
          </w:p>
        </w:tc>
        <w:tc>
          <w:tcPr>
            <w:tcW w:type="dxa" w:w="2324"/>
            <w:tcBorders>
              <w:top w:val="single" w:sz="4" w:space="0" w:color="C4B5FD"/>
              <w:left w:val="single" w:sz="4" w:space="0" w:color="C4B5FD"/>
              <w:bottom w:val="single" w:sz="4" w:space="0" w:color="C4B5FD"/>
              <w:right w:val="single" w:sz="4" w:space="0" w:color="C4B5FD"/>
            </w:tcBorders>
            <w:shd w:val="clear" w:color="auto" w:fill="2D2B55"/>
          </w:tcPr>
          <w:p>
            <w:pPr>
              <w:jc w:val="center"/>
            </w:pPr>
            <w:r>
              <w:rPr>
                <w:rFonts w:ascii="Calibri" w:hAnsi="Calibri"/>
                <w:b/>
                <w:color w:val="FFFFFF"/>
                <w:sz w:val="18"/>
              </w:rPr>
              <w:t>Expected Outcome</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1</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Navigate to My Client Groups → Person Management.</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My Client Groups → Person Management</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Person Management screen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2</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Search for the employee by name or person number. Open the employee record.</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Search → Employee record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Employee profile displayed.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3</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the Actions button (top right of employee page) → Compensation → Change Salary.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Actions → Compensation → Change Salary</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Change Salary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4</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Propose New Salary.</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Propose New Salary button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Salary proposal form opens.</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5</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Enter the Start Date (effective date of the salary change).</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Start Date field</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Effective date set.</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6</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Select the Action (e.g., Hire, Merit Increase, Promotion, Correction).</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 dropdown</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Action type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7</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Select the Salary Basis from the list of values (defines payment frequency and currency).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Salary Basis field → LOV</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Salary basis selected.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8</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Enter the Salary Amount (annual or monthly as per the Salary Basis).</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Salary Amount field</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Salary value entered.</w:t>
            </w:r>
          </w:p>
        </w:tc>
      </w:tr>
      <w:tr>
        <w:tc>
          <w:tcPr>
            <w:tcW w:type="dxa" w:w="624"/>
            <w:tcBorders>
              <w:top w:val="single" w:sz="4" w:space="0" w:color="C4B5FD"/>
              <w:left w:val="single" w:sz="4" w:space="0" w:color="C4B5FD"/>
              <w:bottom w:val="single" w:sz="4" w:space="0" w:color="C4B5FD"/>
              <w:right w:val="single" w:sz="4" w:space="0" w:color="C4B5FD"/>
            </w:tcBorders>
            <w:shd w:val="clear" w:color="auto" w:fill="F8F7FF"/>
          </w:tcPr>
          <w:p>
            <w:pPr>
              <w:jc w:val="center"/>
            </w:pPr>
            <w:r>
              <w:rPr>
                <w:rFonts w:ascii="Calibri" w:hAnsi="Calibri"/>
                <w:b/>
                <w:color w:val="5B5BD6"/>
                <w:sz w:val="20"/>
              </w:rPr>
              <w:t>9</w:t>
            </w:r>
          </w:p>
        </w:tc>
        <w:tc>
          <w:tcPr>
            <w:tcW w:type="dxa" w:w="317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Click Continue to review the salary proposal summary.</w:t>
            </w:r>
          </w:p>
        </w:tc>
        <w:tc>
          <w:tcPr>
            <w:tcW w:type="dxa" w:w="170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Continue button</w:t>
            </w:r>
          </w:p>
        </w:tc>
        <w:tc>
          <w:tcPr>
            <w:tcW w:type="dxa" w:w="2324"/>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sz w:val="18"/>
              </w:rPr>
              <w:t>Summary page displayed for review.</w:t>
            </w:r>
          </w:p>
        </w:tc>
      </w:tr>
      <w:tr>
        <w:tc>
          <w:tcPr>
            <w:tcW w:type="dxa" w:w="624"/>
            <w:tcBorders>
              <w:top w:val="single" w:sz="4" w:space="0" w:color="C4B5FD"/>
              <w:left w:val="single" w:sz="4" w:space="0" w:color="C4B5FD"/>
              <w:bottom w:val="single" w:sz="4" w:space="0" w:color="C4B5FD"/>
              <w:right w:val="single" w:sz="4" w:space="0" w:color="C4B5FD"/>
            </w:tcBorders>
            <w:shd w:val="clear" w:color="auto" w:fill="FFFFFF"/>
          </w:tcPr>
          <w:p>
            <w:pPr>
              <w:jc w:val="center"/>
            </w:pPr>
            <w:r>
              <w:rPr>
                <w:rFonts w:ascii="Calibri" w:hAnsi="Calibri"/>
                <w:b/>
                <w:color w:val="5B5BD6"/>
                <w:sz w:val="20"/>
              </w:rPr>
              <w:t>10</w:t>
            </w:r>
          </w:p>
        </w:tc>
        <w:tc>
          <w:tcPr>
            <w:tcW w:type="dxa" w:w="317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Click Submit. Confirm with Yes when prompted. Click OK to complete.</w:t>
            </w:r>
          </w:p>
        </w:tc>
        <w:tc>
          <w:tcPr>
            <w:tcW w:type="dxa" w:w="170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Payroll Admin</w:t>
            </w:r>
          </w:p>
        </w:tc>
        <w:tc>
          <w:tcPr>
            <w:tcW w:type="dxa" w:w="2721"/>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Submit → Yes → OK</w:t>
            </w:r>
          </w:p>
        </w:tc>
        <w:tc>
          <w:tcPr>
            <w:tcW w:type="dxa" w:w="2324"/>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sz w:val="18"/>
              </w:rPr>
              <w:t>Salary updated in Oracle. Effective from the start date.</w:t>
            </w:r>
          </w:p>
        </w:tc>
      </w:tr>
    </w:tbl>
    <w:p/>
    <w:p>
      <w:pPr>
        <w:shd w:val="clear" w:color="auto" w:fill="FEE2E2"/>
        <w:spacing w:before="80" w:after="160"/>
      </w:pPr>
      <w:r>
        <w:rPr>
          <w:rFonts w:ascii="Calibri" w:hAnsi="Calibri"/>
          <w:b/>
          <w:color w:val="991B1B"/>
          <w:sz w:val="20"/>
        </w:rPr>
        <w:t xml:space="preserve">Warning:  </w:t>
      </w:r>
      <w:r>
        <w:rPr>
          <w:rFonts w:ascii="Calibri" w:hAnsi="Calibri"/>
          <w:color w:val="111827"/>
          <w:sz w:val="20"/>
        </w:rPr>
        <w:t>Salary changes are effective date-driven. If the effective date is in the past (retroactive change), the system will trigger a retroactive payroll calculation. Always coordinate retroactive changes with SOP-PAY-005 (Retro Calculation).</w:t>
      </w:r>
    </w:p>
    <w:p>
      <w:pPr>
        <w:pStyle w:val="Heading2"/>
      </w:pPr>
      <w:r>
        <w:t>8. SLAs &amp; KPIs</w:t>
      </w:r>
    </w:p>
    <w:tbl>
      <w:tblPr>
        <w:tblStyle w:val="TableGrid"/>
        <w:tblW w:type="auto" w:w="0"/>
        <w:tblLook w:firstColumn="1" w:firstRow="1" w:lastColumn="0" w:lastRow="0" w:noHBand="0" w:noVBand="1" w:val="04A0"/>
      </w:tblPr>
      <w:tblGrid>
        <w:gridCol w:w="3009"/>
        <w:gridCol w:w="3009"/>
        <w:gridCol w:w="3009"/>
      </w:tblGrid>
      <w:tr>
        <w:tc>
          <w:tcPr>
            <w:tcW w:type="dxa" w:w="3515"/>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KPI / Metric</w:t>
            </w:r>
          </w:p>
        </w:tc>
        <w:tc>
          <w:tcPr>
            <w:tcW w:type="dxa" w:w="2268"/>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Target</w:t>
            </w:r>
          </w:p>
        </w:tc>
        <w:tc>
          <w:tcPr>
            <w:tcW w:type="dxa" w:w="4762"/>
            <w:tcBorders>
              <w:top w:val="single" w:sz="4" w:space="0" w:color="C4B5FD"/>
              <w:left w:val="single" w:sz="4" w:space="0" w:color="C4B5FD"/>
              <w:bottom w:val="single" w:sz="4" w:space="0" w:color="C4B5FD"/>
              <w:right w:val="single" w:sz="4" w:space="0" w:color="C4B5FD"/>
            </w:tcBorders>
            <w:shd w:val="clear" w:color="auto" w:fill="7C3AED"/>
          </w:tcPr>
          <w:p>
            <w:r>
              <w:rPr>
                <w:rFonts w:ascii="Calibri" w:hAnsi="Calibri"/>
                <w:b/>
                <w:color w:val="FFFFFF"/>
                <w:sz w:val="18"/>
              </w:rPr>
              <w:t>Measurement Source</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Salary change processing SLA</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 2 business days from written approval receipt</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Payroll transaction log</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sz w:val="18"/>
              </w:rPr>
              <w:t>Salary accuracy (first-time correct)</w:t>
            </w:r>
          </w:p>
        </w:tc>
        <w:tc>
          <w:tcPr>
            <w:tcW w:type="dxa" w:w="2268"/>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 99%</w:t>
            </w:r>
          </w:p>
        </w:tc>
        <w:tc>
          <w:tcPr>
            <w:tcW w:type="dxa" w:w="4762"/>
            <w:tcBorders>
              <w:top w:val="single" w:sz="4" w:space="0" w:color="C4B5FD"/>
              <w:left w:val="single" w:sz="4" w:space="0" w:color="C4B5FD"/>
              <w:bottom w:val="single" w:sz="4" w:space="0" w:color="C4B5FD"/>
              <w:right w:val="single" w:sz="4" w:space="0" w:color="C4B5FD"/>
            </w:tcBorders>
            <w:shd w:val="clear" w:color="auto" w:fill="FFFFFF"/>
          </w:tcPr>
          <w:p>
            <w:r>
              <w:rPr>
                <w:rFonts w:ascii="Calibri" w:hAnsi="Calibri"/>
                <w:b w:val="0"/>
                <w:sz w:val="18"/>
              </w:rPr>
              <w:t>Payroll audit report</w:t>
            </w:r>
          </w:p>
        </w:tc>
      </w:tr>
      <w:tr>
        <w:tc>
          <w:tcPr>
            <w:tcW w:type="dxa" w:w="3515"/>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sz w:val="18"/>
              </w:rPr>
              <w:t>Retroactive salary changes per cycle</w:t>
            </w:r>
          </w:p>
        </w:tc>
        <w:tc>
          <w:tcPr>
            <w:tcW w:type="dxa" w:w="2268"/>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&lt; 5% of payroll population</w:t>
            </w:r>
          </w:p>
        </w:tc>
        <w:tc>
          <w:tcPr>
            <w:tcW w:type="dxa" w:w="4762"/>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val="0"/>
                <w:sz w:val="18"/>
              </w:rPr>
              <w:t>Retro report</w:t>
            </w:r>
          </w:p>
        </w:tc>
      </w:tr>
    </w:tbl>
    <w:p/>
    <w:p>
      <w:pPr>
        <w:pStyle w:val="Heading2"/>
      </w:pPr>
      <w:r>
        <w:t>9. Related Documents</w:t>
      </w:r>
    </w:p>
    <w:p>
      <w:pPr>
        <w:pStyle w:val="ListBullet"/>
        <w:spacing w:after="60"/>
      </w:pPr>
      <w:r>
        <w:rPr>
          <w:rFonts w:ascii="Calibri" w:hAnsi="Calibri"/>
          <w:sz w:val="22"/>
        </w:rPr>
        <w:t>SOP-PAY-005: Run Retroactive Calculation</w:t>
      </w:r>
    </w:p>
    <w:p>
      <w:pPr>
        <w:pStyle w:val="ListBullet"/>
        <w:spacing w:after="60"/>
      </w:pPr>
      <w:r>
        <w:rPr>
          <w:rFonts w:ascii="Calibri" w:hAnsi="Calibri"/>
          <w:sz w:val="22"/>
        </w:rPr>
        <w:t>SOP-HCM-002A/B: Promote Employee</w:t>
      </w:r>
    </w:p>
    <w:p>
      <w:pPr>
        <w:pStyle w:val="ListBullet"/>
        <w:spacing w:after="60"/>
      </w:pPr>
      <w:r>
        <w:rPr>
          <w:rFonts w:ascii="Calibri" w:hAnsi="Calibri"/>
          <w:sz w:val="22"/>
        </w:rPr>
        <w:t>Oracle HCM User Guide: Payroll – Manage Employee Salary</w:t>
      </w:r>
    </w:p>
    <w:p>
      <w:pPr>
        <w:pStyle w:val="Heading2"/>
      </w:pPr>
      <w:r>
        <w:t>Version History</w:t>
      </w:r>
    </w:p>
    <w:tbl>
      <w:tblPr>
        <w:tblStyle w:val="TableGrid"/>
        <w:tblW w:type="auto" w:w="0"/>
        <w:tblLook w:firstColumn="1" w:firstRow="1" w:lastColumn="0" w:lastRow="0" w:noHBand="0" w:noVBand="1" w:val="04A0"/>
      </w:tblPr>
      <w:tblGrid>
        <w:gridCol w:w="2256"/>
        <w:gridCol w:w="2256"/>
        <w:gridCol w:w="2256"/>
        <w:gridCol w:w="2256"/>
      </w:tblGrid>
      <w:tr>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Version</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Date</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Author</w:t>
            </w:r>
          </w:p>
        </w:tc>
        <w:tc>
          <w:tcPr>
            <w:tcW w:type="dxa" w:w="2256"/>
            <w:tcBorders>
              <w:top w:val="single" w:sz="4" w:space="0" w:color="C4B5FD"/>
              <w:left w:val="single" w:sz="4" w:space="0" w:color="C4B5FD"/>
              <w:bottom w:val="single" w:sz="4" w:space="0" w:color="C4B5FD"/>
              <w:right w:val="single" w:sz="4" w:space="0" w:color="C4B5FD"/>
            </w:tcBorders>
            <w:shd w:val="clear" w:color="auto" w:fill="F8F7FF"/>
          </w:tcPr>
          <w:p>
            <w:r>
              <w:rPr>
                <w:rFonts w:ascii="Calibri" w:hAnsi="Calibri"/>
                <w:b/>
                <w:color w:val="5B5BD6"/>
                <w:sz w:val="18"/>
              </w:rPr>
              <w:t>Description</w:t>
            </w:r>
          </w:p>
        </w:tc>
      </w:tr>
      <w:tr>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1.0</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April 2026</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HR Operations</w:t>
            </w:r>
          </w:p>
        </w:tc>
        <w:tc>
          <w:tcPr>
            <w:tcW w:type="dxa" w:w="2256"/>
            <w:tcBorders>
              <w:top w:val="single" w:sz="4" w:space="0" w:color="C4B5FD"/>
              <w:left w:val="single" w:sz="4" w:space="0" w:color="C4B5FD"/>
              <w:bottom w:val="single" w:sz="4" w:space="0" w:color="C4B5FD"/>
              <w:right w:val="single" w:sz="4" w:space="0" w:color="C4B5FD"/>
            </w:tcBorders>
          </w:tcPr>
          <w:p>
            <w:r>
              <w:rPr>
                <w:rFonts w:ascii="Calibri" w:hAnsi="Calibri"/>
                <w:sz w:val="18"/>
              </w:rPr>
              <w:t>Initial release</w:t>
            </w:r>
          </w:p>
        </w:tc>
      </w:tr>
    </w:tbl>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00"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80" w:after="80"/>
      <w:outlineLvl w:val="0"/>
    </w:pPr>
    <w:rPr>
      <w:rFonts w:asciiTheme="majorHAnsi" w:eastAsiaTheme="majorEastAsia" w:hAnsiTheme="majorHAnsi" w:cstheme="majorBidi" w:ascii="Calibri" w:hAnsi="Calibri"/>
      <w:b/>
      <w:bCs/>
      <w:color w:val="2D2B55"/>
      <w:sz w:val="32"/>
      <w:szCs w:val="28"/>
    </w:rPr>
  </w:style>
  <w:style w:type="paragraph" w:styleId="Heading2">
    <w:name w:val="heading 2"/>
    <w:basedOn w:val="Normal"/>
    <w:next w:val="Normal"/>
    <w:link w:val="Heading2Char"/>
    <w:uiPriority w:val="9"/>
    <w:unhideWhenUsed/>
    <w:qFormat/>
    <w:rsid w:val="00FC693F"/>
    <w:pPr>
      <w:keepNext/>
      <w:keepLines/>
      <w:spacing w:before="220" w:after="80"/>
      <w:outlineLvl w:val="1"/>
    </w:pPr>
    <w:rPr>
      <w:rFonts w:asciiTheme="majorHAnsi" w:eastAsiaTheme="majorEastAsia" w:hAnsiTheme="majorHAnsi" w:cstheme="majorBidi" w:ascii="Calibri" w:hAnsi="Calibri"/>
      <w:b/>
      <w:bCs/>
      <w:color w:val="5B5BD6"/>
      <w:sz w:val="26"/>
      <w:szCs w:val="26"/>
    </w:rPr>
  </w:style>
  <w:style w:type="paragraph" w:styleId="Heading3">
    <w:name w:val="heading 3"/>
    <w:basedOn w:val="Normal"/>
    <w:next w:val="Normal"/>
    <w:link w:val="Heading3Char"/>
    <w:uiPriority w:val="9"/>
    <w:unhideWhenUsed/>
    <w:qFormat/>
    <w:rsid w:val="00FC693F"/>
    <w:pPr>
      <w:keepNext/>
      <w:keepLines/>
      <w:spacing w:before="180" w:after="80"/>
      <w:outlineLvl w:val="2"/>
    </w:pPr>
    <w:rPr>
      <w:rFonts w:asciiTheme="majorHAnsi" w:eastAsiaTheme="majorEastAsia" w:hAnsiTheme="majorHAnsi" w:cstheme="majorBidi" w:ascii="Calibri" w:hAnsi="Calibri"/>
      <w:b/>
      <w:bCs/>
      <w:color w:val="7C3AED"/>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