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641C2">
      <w:pPr>
        <w:spacing w:before="1800"/>
        <w:jc w:val="center"/>
      </w:pPr>
      <w:bookmarkStart w:id="0" w:name="_GoBack"/>
      <w:bookmarkEnd w:id="0"/>
      <w:r>
        <w:rPr>
          <w:rFonts w:ascii="Microsoft YaHei" w:hAnsi="Microsoft YaHei" w:eastAsia="Microsoft YaHei"/>
          <w:b/>
          <w:color w:val="111827"/>
          <w:sz w:val="50"/>
        </w:rPr>
        <w:t>LumiDerm AI</w:t>
      </w:r>
      <w:r>
        <w:rPr>
          <w:rFonts w:ascii="Microsoft YaHei" w:hAnsi="Microsoft YaHei" w:eastAsia="Microsoft YaHei"/>
          <w:b/>
          <w:color w:val="111827"/>
          <w:sz w:val="50"/>
        </w:rPr>
        <w:br w:type="textWrapping"/>
      </w:r>
      <w:r>
        <w:rPr>
          <w:rFonts w:ascii="Microsoft YaHei" w:hAnsi="Microsoft YaHei" w:eastAsia="Microsoft YaHei"/>
          <w:b/>
          <w:color w:val="111827"/>
          <w:sz w:val="50"/>
        </w:rPr>
        <w:t>后端开发完整规划文档</w:t>
      </w:r>
    </w:p>
    <w:p w14:paraId="3540A95E">
      <w:pPr>
        <w:spacing w:before="200"/>
        <w:jc w:val="center"/>
      </w:pPr>
      <w:r>
        <w:rPr>
          <w:rFonts w:ascii="Microsoft YaHei" w:hAnsi="Microsoft YaHei" w:eastAsia="Microsoft YaHei"/>
          <w:color w:val="4B5563"/>
          <w:sz w:val="26"/>
        </w:rPr>
        <w:t>从前端官网 Demo 进入后端 MVP 开发阶段</w:t>
      </w:r>
    </w:p>
    <w:p w14:paraId="6D6479D0">
      <w:pPr>
        <w:spacing w:before="700"/>
        <w:jc w:val="center"/>
      </w:pPr>
      <w:r>
        <w:rPr>
          <w:rFonts w:ascii="Microsoft YaHei" w:hAnsi="Microsoft YaHei" w:eastAsia="Microsoft YaHei"/>
          <w:color w:val="374151"/>
          <w:sz w:val="22"/>
        </w:rPr>
        <w:t>项目定位：AI Beauty / Skin Analysis 产品官网 + 后续 AI 肌肤分析系统</w:t>
      </w:r>
      <w:r>
        <w:rPr>
          <w:rFonts w:ascii="Microsoft YaHei" w:hAnsi="Microsoft YaHei" w:eastAsia="Microsoft YaHei"/>
          <w:color w:val="374151"/>
          <w:sz w:val="22"/>
        </w:rPr>
        <w:br w:type="textWrapping"/>
      </w:r>
      <w:r>
        <w:rPr>
          <w:rFonts w:ascii="Microsoft YaHei" w:hAnsi="Microsoft YaHei" w:eastAsia="Microsoft YaHei"/>
          <w:color w:val="374151"/>
          <w:sz w:val="22"/>
        </w:rPr>
        <w:t>技术方向：React + Vite 前端 · Node.js + Express 后端 · SQLite MVP · 腾讯云部署</w:t>
      </w:r>
    </w:p>
    <w:p w14:paraId="68B24EF7">
      <w:r>
        <w:rPr>
          <w:rFonts w:ascii="Microsoft YaHei" w:hAnsi="Microsoft YaHei" w:eastAsia="Microsoft YaHei"/>
        </w:rPr>
        <w:br w:type="page"/>
      </w:r>
    </w:p>
    <w:p w14:paraId="659AE524">
      <w:pPr>
        <w:pStyle w:val="3"/>
      </w:pPr>
      <w:r>
        <w:rPr>
          <w:rFonts w:ascii="Microsoft YaHei" w:hAnsi="Microsoft YaHei" w:eastAsia="Microsoft YaHei"/>
        </w:rPr>
        <w:t>目录</w:t>
      </w:r>
    </w:p>
    <w:p w14:paraId="5AC446A8">
      <w:pPr>
        <w:pStyle w:val="14"/>
        <w:spacing w:after="40"/>
      </w:pPr>
      <w:r>
        <w:rPr>
          <w:rFonts w:ascii="Microsoft YaHei" w:hAnsi="Microsoft YaHei" w:eastAsia="Microsoft YaHei"/>
        </w:rPr>
        <w:t>1. 项目当前状态理解</w:t>
      </w:r>
    </w:p>
    <w:p w14:paraId="009C4D23">
      <w:pPr>
        <w:pStyle w:val="14"/>
        <w:spacing w:after="40"/>
      </w:pPr>
      <w:r>
        <w:rPr>
          <w:rFonts w:ascii="Microsoft YaHei" w:hAnsi="Microsoft YaHei" w:eastAsia="Microsoft YaHei"/>
        </w:rPr>
        <w:t>2. 前端已完成内容</w:t>
      </w:r>
    </w:p>
    <w:p w14:paraId="185894DF">
      <w:pPr>
        <w:pStyle w:val="14"/>
        <w:spacing w:after="40"/>
      </w:pPr>
      <w:r>
        <w:rPr>
          <w:rFonts w:ascii="Microsoft YaHei" w:hAnsi="Microsoft YaHei" w:eastAsia="Microsoft YaHei"/>
        </w:rPr>
        <w:t>3. 后端开发目标与边界</w:t>
      </w:r>
    </w:p>
    <w:p w14:paraId="67C211E0">
      <w:pPr>
        <w:pStyle w:val="14"/>
        <w:spacing w:after="40"/>
      </w:pPr>
      <w:r>
        <w:rPr>
          <w:rFonts w:ascii="Microsoft YaHei" w:hAnsi="Microsoft YaHei" w:eastAsia="Microsoft YaHei"/>
        </w:rPr>
        <w:t>4. 推荐后端技术栈</w:t>
      </w:r>
    </w:p>
    <w:p w14:paraId="76F9C6A3">
      <w:pPr>
        <w:pStyle w:val="14"/>
        <w:spacing w:after="40"/>
      </w:pPr>
      <w:r>
        <w:rPr>
          <w:rFonts w:ascii="Microsoft YaHei" w:hAnsi="Microsoft YaHei" w:eastAsia="Microsoft YaHei"/>
        </w:rPr>
        <w:t>5. 后端 12 步开发路线</w:t>
      </w:r>
    </w:p>
    <w:p w14:paraId="09139575">
      <w:pPr>
        <w:pStyle w:val="14"/>
        <w:spacing w:after="40"/>
      </w:pPr>
      <w:r>
        <w:rPr>
          <w:rFonts w:ascii="Microsoft YaHei" w:hAnsi="Microsoft YaHei" w:eastAsia="Microsoft YaHei"/>
        </w:rPr>
        <w:t>6. 第一阶段 MVP API 设计</w:t>
      </w:r>
    </w:p>
    <w:p w14:paraId="48F6D9CC">
      <w:pPr>
        <w:pStyle w:val="14"/>
        <w:spacing w:after="40"/>
      </w:pPr>
      <w:r>
        <w:rPr>
          <w:rFonts w:ascii="Microsoft YaHei" w:hAnsi="Microsoft YaHei" w:eastAsia="Microsoft YaHei"/>
        </w:rPr>
        <w:t>7. 后端项目目录结构建议</w:t>
      </w:r>
    </w:p>
    <w:p w14:paraId="196759BC">
      <w:pPr>
        <w:pStyle w:val="14"/>
        <w:spacing w:after="40"/>
      </w:pPr>
      <w:r>
        <w:rPr>
          <w:rFonts w:ascii="Microsoft YaHei" w:hAnsi="Microsoft YaHei" w:eastAsia="Microsoft YaHei"/>
        </w:rPr>
        <w:t>8. 前后端联调方式</w:t>
      </w:r>
    </w:p>
    <w:p w14:paraId="2101C2BA">
      <w:pPr>
        <w:pStyle w:val="14"/>
        <w:spacing w:after="40"/>
      </w:pPr>
      <w:r>
        <w:rPr>
          <w:rFonts w:ascii="Microsoft YaHei" w:hAnsi="Microsoft YaHei" w:eastAsia="Microsoft YaHei"/>
        </w:rPr>
        <w:t>9. 腾讯云部署思路</w:t>
      </w:r>
    </w:p>
    <w:p w14:paraId="721DC5D8">
      <w:pPr>
        <w:pStyle w:val="14"/>
        <w:spacing w:after="40"/>
      </w:pPr>
      <w:r>
        <w:rPr>
          <w:rFonts w:ascii="Microsoft YaHei" w:hAnsi="Microsoft YaHei" w:eastAsia="Microsoft YaHei"/>
        </w:rPr>
        <w:t>10. 数据合规与安全边界</w:t>
      </w:r>
    </w:p>
    <w:p w14:paraId="272CB331">
      <w:pPr>
        <w:pStyle w:val="14"/>
        <w:spacing w:after="40"/>
      </w:pPr>
      <w:r>
        <w:rPr>
          <w:rFonts w:ascii="Microsoft YaHei" w:hAnsi="Microsoft YaHei" w:eastAsia="Microsoft YaHei"/>
        </w:rPr>
        <w:t>11. 需要用户提供的信息</w:t>
      </w:r>
    </w:p>
    <w:p w14:paraId="264ECD67">
      <w:pPr>
        <w:pStyle w:val="14"/>
        <w:spacing w:after="40"/>
      </w:pPr>
      <w:r>
        <w:rPr>
          <w:rFonts w:ascii="Microsoft YaHei" w:hAnsi="Microsoft YaHei" w:eastAsia="Microsoft YaHei"/>
        </w:rPr>
        <w:t>12. 后端第 1 步 Codex 执行 Prompt</w:t>
      </w:r>
    </w:p>
    <w:p w14:paraId="32F39F9E">
      <w:r>
        <w:rPr>
          <w:rFonts w:ascii="Microsoft YaHei" w:hAnsi="Microsoft YaHei" w:eastAsia="Microsoft YaHei"/>
        </w:rPr>
        <w:br w:type="page"/>
      </w:r>
    </w:p>
    <w:p w14:paraId="143F127A">
      <w:pPr>
        <w:pStyle w:val="3"/>
      </w:pPr>
      <w:r>
        <w:rPr>
          <w:rFonts w:ascii="Microsoft YaHei" w:hAnsi="Microsoft YaHei" w:eastAsia="Microsoft YaHei"/>
        </w:rPr>
        <w:t>1. 项目当前状态理解</w:t>
      </w:r>
    </w:p>
    <w:p w14:paraId="587C5C45">
      <w:pPr>
        <w:spacing w:after="140"/>
      </w:pPr>
      <w:r>
        <w:rPr>
          <w:rFonts w:ascii="Microsoft YaHei" w:hAnsi="Microsoft YaHei" w:eastAsia="Microsoft YaHei"/>
        </w:rPr>
        <w:t>LumiDerm AI 当前已经完成前端官网落地页阶段，定位不是普通美容展示站，而是一个 AI Beauty / Skin Analysis 产品官网与后续 AI 肌肤分析系统的原型项目。</w:t>
      </w:r>
    </w:p>
    <w:p w14:paraId="665FD38C">
      <w:pPr>
        <w:spacing w:after="140"/>
      </w:pPr>
      <w:r>
        <w:rPr>
          <w:rFonts w:ascii="Microsoft YaHei" w:hAnsi="Microsoft YaHei" w:eastAsia="Microsoft YaHei"/>
        </w:rPr>
        <w:t>现阶段前端具备高端美容科技感、完整商业叙事、模拟 Skin Scan 演示、肌肤指标展示、面部分区分析、个性化护肤建议、Pricing、FAQ、CTA 和 Footer 等模块。</w:t>
      </w:r>
    </w:p>
    <w:p w14:paraId="3BB5C2CA">
      <w:pPr>
        <w:spacing w:after="140"/>
      </w:pPr>
      <w:r>
        <w:rPr>
          <w:rFonts w:ascii="Microsoft YaHei" w:hAnsi="Microsoft YaHei" w:eastAsia="Microsoft YaHei"/>
        </w:rPr>
        <w:t>但项目目前本质仍是“前端展示层 + 静态交互 Demo + 模拟 AI 分析数据”，尚未形成真实业务闭环。后端开发的第一目标不是一次性做成完整商业系统，而是先完成可运行 MVP。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5A9D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EF2FF"/>
          </w:tcPr>
          <w:p w14:paraId="278277B6"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22"/>
              </w:rPr>
              <w:t>核心判断</w:t>
            </w:r>
          </w:p>
          <w:p w14:paraId="409FCA33"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当前项目已经具备高质量前端资产。后端开发必须采用“新增服务层、API 接入、不破坏前端视觉”的方式推进。</w:t>
            </w:r>
          </w:p>
        </w:tc>
      </w:tr>
    </w:tbl>
    <w:p w14:paraId="4F01A454"/>
    <w:p w14:paraId="61679D1C">
      <w:pPr>
        <w:pStyle w:val="3"/>
      </w:pPr>
      <w:r>
        <w:rPr>
          <w:rFonts w:ascii="Microsoft YaHei" w:hAnsi="Microsoft YaHei" w:eastAsia="Microsoft YaHei"/>
        </w:rPr>
        <w:t>2. 前端已完成内容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920"/>
      </w:tblGrid>
      <w:tr w14:paraId="2034A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F2937"/>
            <w:vAlign w:val="center"/>
          </w:tcPr>
          <w:p w14:paraId="5C64501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w="7920" w:type="dxa"/>
            <w:shd w:val="clear" w:color="auto" w:fill="1F2937"/>
            <w:vAlign w:val="center"/>
          </w:tcPr>
          <w:p w14:paraId="585DE3E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 w14:paraId="62E21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619E344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技术栈</w:t>
            </w:r>
          </w:p>
        </w:tc>
        <w:tc>
          <w:tcPr>
            <w:tcW w:w="7920" w:type="dxa"/>
            <w:vAlign w:val="top"/>
          </w:tcPr>
          <w:p w14:paraId="41C07B1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React、Vite、Tailwind CSS、Framer Motion、Lucide React Icons。</w:t>
            </w:r>
          </w:p>
        </w:tc>
      </w:tr>
      <w:tr w14:paraId="4771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1BEB03C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项目性质</w:t>
            </w:r>
          </w:p>
        </w:tc>
        <w:tc>
          <w:tcPr>
            <w:tcW w:w="7920" w:type="dxa"/>
            <w:vAlign w:val="top"/>
          </w:tcPr>
          <w:p w14:paraId="17B668E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纯前端静态项目，无真实后端、无真实数据库、无真实 AI 分析接口。</w:t>
            </w:r>
          </w:p>
        </w:tc>
      </w:tr>
      <w:tr w14:paraId="31BF0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2BC7E8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当前用途</w:t>
            </w:r>
          </w:p>
        </w:tc>
        <w:tc>
          <w:tcPr>
            <w:tcW w:w="7920" w:type="dxa"/>
            <w:vAlign w:val="top"/>
          </w:tcPr>
          <w:p w14:paraId="6F8C153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作品集项目、商业 Demo、AI 美容产品原型、可部署到公网的展示官网。</w:t>
            </w:r>
          </w:p>
        </w:tc>
      </w:tr>
      <w:tr w14:paraId="26AD6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4E54746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关键状态</w:t>
            </w:r>
          </w:p>
        </w:tc>
        <w:tc>
          <w:tcPr>
            <w:tcW w:w="7920" w:type="dxa"/>
            <w:vAlign w:val="top"/>
          </w:tcPr>
          <w:p w14:paraId="2CDE308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Skin Analysis 当前使用模拟数据，后续需要通过 API 接入真实后端流程。</w:t>
            </w:r>
          </w:p>
        </w:tc>
      </w:tr>
    </w:tbl>
    <w:p w14:paraId="3A671D8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"/>
        <w:gridCol w:w="3095"/>
        <w:gridCol w:w="6120"/>
      </w:tblGrid>
      <w:tr w14:paraId="702D5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8" w:type="dxa"/>
            <w:shd w:val="clear" w:color="auto" w:fill="1F2937"/>
            <w:vAlign w:val="center"/>
          </w:tcPr>
          <w:p w14:paraId="634DFC7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w="3168" w:type="dxa"/>
            <w:shd w:val="clear" w:color="auto" w:fill="1F2937"/>
            <w:vAlign w:val="center"/>
          </w:tcPr>
          <w:p w14:paraId="68CBD5E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前端模块</w:t>
            </w:r>
          </w:p>
        </w:tc>
        <w:tc>
          <w:tcPr>
            <w:tcW w:w="6480" w:type="dxa"/>
            <w:shd w:val="clear" w:color="auto" w:fill="1F2937"/>
            <w:vAlign w:val="center"/>
          </w:tcPr>
          <w:p w14:paraId="711BC14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后端开发注意事项</w:t>
            </w:r>
          </w:p>
        </w:tc>
      </w:tr>
      <w:tr w14:paraId="2CDBD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0297982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w="3168" w:type="dxa"/>
            <w:vAlign w:val="top"/>
          </w:tcPr>
          <w:p w14:paraId="6681592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Navbar</w:t>
            </w:r>
          </w:p>
        </w:tc>
        <w:tc>
          <w:tcPr>
            <w:tcW w:w="6480" w:type="dxa"/>
            <w:vAlign w:val="top"/>
          </w:tcPr>
          <w:p w14:paraId="37A5440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3E19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0B24DDB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w="3168" w:type="dxa"/>
            <w:vAlign w:val="top"/>
          </w:tcPr>
          <w:p w14:paraId="79B7797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Hero</w:t>
            </w:r>
          </w:p>
        </w:tc>
        <w:tc>
          <w:tcPr>
            <w:tcW w:w="6480" w:type="dxa"/>
            <w:vAlign w:val="top"/>
          </w:tcPr>
          <w:p w14:paraId="31E3D50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3435A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3A02D82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w="3168" w:type="dxa"/>
            <w:vAlign w:val="top"/>
          </w:tcPr>
          <w:p w14:paraId="222B33C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ProductIntro</w:t>
            </w:r>
          </w:p>
        </w:tc>
        <w:tc>
          <w:tcPr>
            <w:tcW w:w="6480" w:type="dxa"/>
            <w:vAlign w:val="top"/>
          </w:tcPr>
          <w:p w14:paraId="67737A4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56DBE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4251D6D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w="3168" w:type="dxa"/>
            <w:vAlign w:val="top"/>
          </w:tcPr>
          <w:p w14:paraId="47E7610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SkinScanDemo</w:t>
            </w:r>
          </w:p>
        </w:tc>
        <w:tc>
          <w:tcPr>
            <w:tcW w:w="6480" w:type="dxa"/>
            <w:vAlign w:val="top"/>
          </w:tcPr>
          <w:p w14:paraId="2A721E8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0B15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1BF29D8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w="3168" w:type="dxa"/>
            <w:vAlign w:val="top"/>
          </w:tcPr>
          <w:p w14:paraId="13A6695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AnalysisMetrics</w:t>
            </w:r>
          </w:p>
        </w:tc>
        <w:tc>
          <w:tcPr>
            <w:tcW w:w="6480" w:type="dxa"/>
            <w:vAlign w:val="top"/>
          </w:tcPr>
          <w:p w14:paraId="26E7310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3D94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1A68CD2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w="3168" w:type="dxa"/>
            <w:vAlign w:val="top"/>
          </w:tcPr>
          <w:p w14:paraId="7C2428C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FaceMapping</w:t>
            </w:r>
          </w:p>
        </w:tc>
        <w:tc>
          <w:tcPr>
            <w:tcW w:w="6480" w:type="dxa"/>
            <w:vAlign w:val="top"/>
          </w:tcPr>
          <w:p w14:paraId="6D2E954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43D7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1D56ABF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w="3168" w:type="dxa"/>
            <w:vAlign w:val="top"/>
          </w:tcPr>
          <w:p w14:paraId="39906C5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PersonalizedRoutine</w:t>
            </w:r>
          </w:p>
        </w:tc>
        <w:tc>
          <w:tcPr>
            <w:tcW w:w="6480" w:type="dxa"/>
            <w:vAlign w:val="top"/>
          </w:tcPr>
          <w:p w14:paraId="2F6FCC9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45009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7161B4D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w="3168" w:type="dxa"/>
            <w:vAlign w:val="top"/>
          </w:tcPr>
          <w:p w14:paraId="58BA890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Technology</w:t>
            </w:r>
          </w:p>
        </w:tc>
        <w:tc>
          <w:tcPr>
            <w:tcW w:w="6480" w:type="dxa"/>
            <w:vAlign w:val="top"/>
          </w:tcPr>
          <w:p w14:paraId="784C276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32D3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65D637C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w="3168" w:type="dxa"/>
            <w:vAlign w:val="top"/>
          </w:tcPr>
          <w:p w14:paraId="2325854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UseCases</w:t>
            </w:r>
          </w:p>
        </w:tc>
        <w:tc>
          <w:tcPr>
            <w:tcW w:w="6480" w:type="dxa"/>
            <w:vAlign w:val="top"/>
          </w:tcPr>
          <w:p w14:paraId="4D960F9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1A74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348BA01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w="3168" w:type="dxa"/>
            <w:vAlign w:val="top"/>
          </w:tcPr>
          <w:p w14:paraId="26FEB88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Pricing</w:t>
            </w:r>
          </w:p>
        </w:tc>
        <w:tc>
          <w:tcPr>
            <w:tcW w:w="6480" w:type="dxa"/>
            <w:vAlign w:val="top"/>
          </w:tcPr>
          <w:p w14:paraId="58FEBCE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15C13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02E6599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w="3168" w:type="dxa"/>
            <w:vAlign w:val="top"/>
          </w:tcPr>
          <w:p w14:paraId="32450C5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FAQ</w:t>
            </w:r>
          </w:p>
        </w:tc>
        <w:tc>
          <w:tcPr>
            <w:tcW w:w="6480" w:type="dxa"/>
            <w:vAlign w:val="top"/>
          </w:tcPr>
          <w:p w14:paraId="0B6867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5E9B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4FCA519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w="3168" w:type="dxa"/>
            <w:vAlign w:val="top"/>
          </w:tcPr>
          <w:p w14:paraId="65EAAE9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FinalCTA</w:t>
            </w:r>
          </w:p>
        </w:tc>
        <w:tc>
          <w:tcPr>
            <w:tcW w:w="6480" w:type="dxa"/>
            <w:vAlign w:val="top"/>
          </w:tcPr>
          <w:p w14:paraId="7CE2059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  <w:tr w14:paraId="32F78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36C9ABA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w="3168" w:type="dxa"/>
            <w:vAlign w:val="top"/>
          </w:tcPr>
          <w:p w14:paraId="3AE3298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Footer</w:t>
            </w:r>
          </w:p>
        </w:tc>
        <w:tc>
          <w:tcPr>
            <w:tcW w:w="6480" w:type="dxa"/>
            <w:vAlign w:val="top"/>
          </w:tcPr>
          <w:p w14:paraId="3FF1FDF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保留现有视觉与交互，后端仅通过 API 提供数据。</w:t>
            </w:r>
          </w:p>
        </w:tc>
      </w:tr>
    </w:tbl>
    <w:p w14:paraId="78FEC30F"/>
    <w:p w14:paraId="62E343FE">
      <w:pPr>
        <w:pStyle w:val="3"/>
      </w:pPr>
      <w:r>
        <w:rPr>
          <w:rFonts w:ascii="Microsoft YaHei" w:hAnsi="Microsoft YaHei" w:eastAsia="Microsoft YaHei"/>
        </w:rPr>
        <w:t>3. 后端开发目标与边界</w:t>
      </w:r>
    </w:p>
    <w:p w14:paraId="5D87B7D4">
      <w:r>
        <w:rPr>
          <w:rFonts w:ascii="Microsoft YaHei" w:hAnsi="Microsoft YaHei" w:eastAsia="Microsoft YaHei"/>
        </w:rPr>
        <w:t>后端第一阶段目标是建立 MVP 闭环：用户上传照片，后端接收并校验图片，保存图片，返回结构化模拟 AI 分析结果，前端展示结果。</w:t>
      </w:r>
    </w:p>
    <w:p w14:paraId="42DA7D7E">
      <w:pPr>
        <w:pStyle w:val="164"/>
      </w:pPr>
      <w:r>
        <w:rPr>
          <w:rFonts w:ascii="Microsoft YaHei" w:hAnsi="Microsoft YaHei" w:eastAsia="Microsoft YaHei"/>
          <w:sz w:val="18"/>
        </w:rPr>
        <w:t>用户选择面部照片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↓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前端以 multipart/form-data 提交图片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↓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后端校验文件类型、大小、是否为空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↓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后端保存图片到 uploads/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↓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生成模拟 AI 肌肤分析结果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↓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返回 JSON 给前端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↓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前端 SkinScanDemo 展示结果</w:t>
      </w:r>
      <w:r>
        <w:rPr>
          <w:rFonts w:ascii="Microsoft YaHei" w:hAnsi="Microsoft YaHei" w:eastAsia="Microsoft YaHei"/>
        </w:rP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8322"/>
      </w:tblGrid>
      <w:tr w14:paraId="4E9B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F2937"/>
            <w:vAlign w:val="center"/>
          </w:tcPr>
          <w:p w14:paraId="7AF7B74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w="8352" w:type="dxa"/>
            <w:shd w:val="clear" w:color="auto" w:fill="1F2937"/>
            <w:vAlign w:val="center"/>
          </w:tcPr>
          <w:p w14:paraId="2D6A403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 w14:paraId="56EE7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48B20A4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必须做</w:t>
            </w:r>
          </w:p>
        </w:tc>
        <w:tc>
          <w:tcPr>
            <w:tcW w:w="8352" w:type="dxa"/>
            <w:vAlign w:val="top"/>
          </w:tcPr>
          <w:p w14:paraId="4CCC3F5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健康检查、图片上传、基础校验、本地存储、模拟分析结果、统一返回格式、前后端联调。</w:t>
            </w:r>
          </w:p>
        </w:tc>
      </w:tr>
      <w:tr w14:paraId="7EAF0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5F1ED79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后续再做</w:t>
            </w:r>
          </w:p>
        </w:tc>
        <w:tc>
          <w:tcPr>
            <w:tcW w:w="8352" w:type="dxa"/>
            <w:vAlign w:val="top"/>
          </w:tcPr>
          <w:p w14:paraId="7305B0C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数据库、历史报告、真实 AI、用户系统、支付、会员权限、管理后台、腾讯云 COS。</w:t>
            </w:r>
          </w:p>
        </w:tc>
      </w:tr>
      <w:tr w14:paraId="2BABF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2057A32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不能破坏</w:t>
            </w:r>
          </w:p>
        </w:tc>
        <w:tc>
          <w:tcPr>
            <w:tcW w:w="8352" w:type="dxa"/>
            <w:vAlign w:val="top"/>
          </w:tcPr>
          <w:p w14:paraId="0B0E4C0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前端页面视觉、模块结构、动画、响应式、已有模拟 Demo 体验。</w:t>
            </w:r>
          </w:p>
        </w:tc>
      </w:tr>
      <w:tr w14:paraId="479D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7FF34E5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合规底线</w:t>
            </w:r>
          </w:p>
        </w:tc>
        <w:tc>
          <w:tcPr>
            <w:tcW w:w="8352" w:type="dxa"/>
            <w:vAlign w:val="top"/>
          </w:tcPr>
          <w:p w14:paraId="36CF67B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不能写医疗诊断、疾病判断、治疗、治愈、临床级、100% 准确等表达。</w:t>
            </w:r>
          </w:p>
        </w:tc>
      </w:tr>
    </w:tbl>
    <w:p w14:paraId="1743565A"/>
    <w:p w14:paraId="1D4A914B">
      <w:pPr>
        <w:pStyle w:val="3"/>
      </w:pPr>
      <w:r>
        <w:rPr>
          <w:rFonts w:ascii="Microsoft YaHei" w:hAnsi="Microsoft YaHei" w:eastAsia="Microsoft YaHei"/>
        </w:rPr>
        <w:t>4. 推荐后端技术栈</w:t>
      </w:r>
    </w:p>
    <w:p w14:paraId="6B2726CB">
      <w:r>
        <w:rPr>
          <w:rFonts w:ascii="Microsoft YaHei" w:hAnsi="Microsoft YaHei" w:eastAsia="Microsoft YaHei"/>
        </w:rPr>
        <w:t>基于当前项目目标，推荐第一阶段使用 Node.js + Express + Multer + SQLite。它简单、稳定、快速可上线，适合先跑通 MVP。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920"/>
      </w:tblGrid>
      <w:tr w14:paraId="3784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F2937"/>
            <w:vAlign w:val="center"/>
          </w:tcPr>
          <w:p w14:paraId="3059C85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</w:t>
            </w:r>
          </w:p>
        </w:tc>
        <w:tc>
          <w:tcPr>
            <w:tcW w:w="7920" w:type="dxa"/>
            <w:shd w:val="clear" w:color="auto" w:fill="1F2937"/>
            <w:vAlign w:val="center"/>
          </w:tcPr>
          <w:p w14:paraId="4209F34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 w14:paraId="0F1C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5E8C7A4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Node.js</w:t>
            </w:r>
          </w:p>
        </w:tc>
        <w:tc>
          <w:tcPr>
            <w:tcW w:w="7920" w:type="dxa"/>
            <w:vAlign w:val="top"/>
          </w:tcPr>
          <w:p w14:paraId="42EA6DB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与 React/Vite 前端衔接简单，Codex 维护成本低。</w:t>
            </w:r>
          </w:p>
        </w:tc>
      </w:tr>
      <w:tr w14:paraId="6C152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0EAAC96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Express</w:t>
            </w:r>
          </w:p>
        </w:tc>
        <w:tc>
          <w:tcPr>
            <w:tcW w:w="7920" w:type="dxa"/>
            <w:vAlign w:val="top"/>
          </w:tcPr>
          <w:p w14:paraId="4ED503E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轻量、直接，适合 MVP 后端服务。</w:t>
            </w:r>
          </w:p>
        </w:tc>
      </w:tr>
      <w:tr w14:paraId="7C84E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09CB1AA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Multer</w:t>
            </w:r>
          </w:p>
        </w:tc>
        <w:tc>
          <w:tcPr>
            <w:tcW w:w="7920" w:type="dxa"/>
            <w:vAlign w:val="top"/>
          </w:tcPr>
          <w:p w14:paraId="4950588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处理 multipart/form-data 图片上传。</w:t>
            </w:r>
          </w:p>
        </w:tc>
      </w:tr>
      <w:tr w14:paraId="38115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0EBB230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SQLite</w:t>
            </w:r>
          </w:p>
        </w:tc>
        <w:tc>
          <w:tcPr>
            <w:tcW w:w="7920" w:type="dxa"/>
            <w:vAlign w:val="top"/>
          </w:tcPr>
          <w:p w14:paraId="413C370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无需独立数据库服务，适合第一阶段保存分析记录。</w:t>
            </w:r>
          </w:p>
        </w:tc>
      </w:tr>
      <w:tr w14:paraId="6219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53A908B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dotenv</w:t>
            </w:r>
          </w:p>
        </w:tc>
        <w:tc>
          <w:tcPr>
            <w:tcW w:w="7920" w:type="dxa"/>
            <w:vAlign w:val="top"/>
          </w:tcPr>
          <w:p w14:paraId="2F9DBD4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管理端口、前端域名、环境变量，避免密钥写死。</w:t>
            </w:r>
          </w:p>
        </w:tc>
      </w:tr>
      <w:tr w14:paraId="350D7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63E6BFD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cors</w:t>
            </w:r>
          </w:p>
        </w:tc>
        <w:tc>
          <w:tcPr>
            <w:tcW w:w="7920" w:type="dxa"/>
            <w:vAlign w:val="top"/>
          </w:tcPr>
          <w:p w14:paraId="774DF02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处理本地开发与部署后的跨域问题。</w:t>
            </w:r>
          </w:p>
        </w:tc>
      </w:tr>
      <w:tr w14:paraId="1BE2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2432A88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PM2</w:t>
            </w:r>
          </w:p>
        </w:tc>
        <w:tc>
          <w:tcPr>
            <w:tcW w:w="7920" w:type="dxa"/>
            <w:vAlign w:val="top"/>
          </w:tcPr>
          <w:p w14:paraId="5254F6B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部署阶段用于 Node 服务保活。</w:t>
            </w:r>
          </w:p>
        </w:tc>
      </w:tr>
      <w:tr w14:paraId="57AF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137C883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Nginx</w:t>
            </w:r>
          </w:p>
        </w:tc>
        <w:tc>
          <w:tcPr>
            <w:tcW w:w="7920" w:type="dxa"/>
            <w:vAlign w:val="top"/>
          </w:tcPr>
          <w:p w14:paraId="380F4DE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部署阶段用于静态站点、反向代理、HTTPS。</w:t>
            </w:r>
          </w:p>
        </w:tc>
      </w:tr>
    </w:tbl>
    <w:p w14:paraId="5E16285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7BEB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CFDF5"/>
          </w:tcPr>
          <w:p w14:paraId="58D60867"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22"/>
              </w:rPr>
              <w:t>技术栈结论</w:t>
            </w:r>
          </w:p>
          <w:p w14:paraId="3FC3BA49"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第一阶段不要一上来使用 NestJS、复杂用户系统、云存储或真实 AI 模型。先用最小技术组合跑通上传与分析流程，后续再逐步升级。</w:t>
            </w:r>
          </w:p>
        </w:tc>
      </w:tr>
    </w:tbl>
    <w:p w14:paraId="76381775"/>
    <w:p w14:paraId="23811A68">
      <w:pPr>
        <w:pStyle w:val="3"/>
      </w:pPr>
      <w:r>
        <w:rPr>
          <w:rFonts w:ascii="Microsoft YaHei" w:hAnsi="Microsoft YaHei" w:eastAsia="Microsoft YaHei"/>
        </w:rPr>
        <w:t>5. 后端 12 步开发路线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2427"/>
        <w:gridCol w:w="4239"/>
        <w:gridCol w:w="2829"/>
      </w:tblGrid>
      <w:tr w14:paraId="705E8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20" w:type="dxa"/>
            <w:shd w:val="clear" w:color="auto" w:fill="1F2937"/>
            <w:vAlign w:val="center"/>
          </w:tcPr>
          <w:p w14:paraId="6661960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w="2592" w:type="dxa"/>
            <w:shd w:val="clear" w:color="auto" w:fill="1F2937"/>
            <w:vAlign w:val="center"/>
          </w:tcPr>
          <w:p w14:paraId="7B8C959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w="4464" w:type="dxa"/>
            <w:shd w:val="clear" w:color="auto" w:fill="1F2937"/>
            <w:vAlign w:val="center"/>
          </w:tcPr>
          <w:p w14:paraId="1BE1935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主要内容</w:t>
            </w:r>
          </w:p>
        </w:tc>
        <w:tc>
          <w:tcPr>
            <w:tcW w:w="3024" w:type="dxa"/>
            <w:shd w:val="clear" w:color="auto" w:fill="1F2937"/>
            <w:vAlign w:val="center"/>
          </w:tcPr>
          <w:p w14:paraId="4735ED7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验收标准</w:t>
            </w:r>
          </w:p>
        </w:tc>
      </w:tr>
      <w:tr w14:paraId="0C880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099D5C2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w="2592" w:type="dxa"/>
            <w:vAlign w:val="top"/>
          </w:tcPr>
          <w:p w14:paraId="1DADA42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建立后端基础服务层</w:t>
            </w:r>
          </w:p>
        </w:tc>
        <w:tc>
          <w:tcPr>
            <w:tcW w:w="4464" w:type="dxa"/>
            <w:vAlign w:val="top"/>
          </w:tcPr>
          <w:p w14:paraId="548DB33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 backend 工程，Express 服务跑起来，完成 /api/health。</w:t>
            </w:r>
          </w:p>
        </w:tc>
        <w:tc>
          <w:tcPr>
            <w:tcW w:w="3024" w:type="dxa"/>
            <w:vAlign w:val="top"/>
          </w:tcPr>
          <w:p w14:paraId="3ACBCB5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服务能启动，健康检查能返回 JSON。</w:t>
            </w:r>
          </w:p>
        </w:tc>
      </w:tr>
      <w:tr w14:paraId="2BF5D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5553CB5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w="2592" w:type="dxa"/>
            <w:vAlign w:val="top"/>
          </w:tcPr>
          <w:p w14:paraId="2E8748F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设计 API 路由和数据结构</w:t>
            </w:r>
          </w:p>
        </w:tc>
        <w:tc>
          <w:tcPr>
            <w:tcW w:w="4464" w:type="dxa"/>
            <w:vAlign w:val="top"/>
          </w:tcPr>
          <w:p w14:paraId="13452D1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设计 Skin Analysis 接口、字段、响应格式、错误格式。</w:t>
            </w:r>
          </w:p>
        </w:tc>
        <w:tc>
          <w:tcPr>
            <w:tcW w:w="3024" w:type="dxa"/>
            <w:vAlign w:val="top"/>
          </w:tcPr>
          <w:p w14:paraId="5FC0CE5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形成稳定 API 契约，避免后续返工。</w:t>
            </w:r>
          </w:p>
        </w:tc>
      </w:tr>
      <w:tr w14:paraId="283B6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715E4B8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w="2592" w:type="dxa"/>
            <w:vAlign w:val="top"/>
          </w:tcPr>
          <w:p w14:paraId="7B6A99C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实现图片上传接口</w:t>
            </w:r>
          </w:p>
        </w:tc>
        <w:tc>
          <w:tcPr>
            <w:tcW w:w="4464" w:type="dxa"/>
            <w:vAlign w:val="top"/>
          </w:tcPr>
          <w:p w14:paraId="4787DB1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使用 multipart/form-data 接收 image 字段。</w:t>
            </w:r>
          </w:p>
        </w:tc>
        <w:tc>
          <w:tcPr>
            <w:tcW w:w="3024" w:type="dxa"/>
            <w:vAlign w:val="top"/>
          </w:tcPr>
          <w:p w14:paraId="3ACC8EC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能接收前端上传的图片文件。</w:t>
            </w:r>
          </w:p>
        </w:tc>
      </w:tr>
      <w:tr w14:paraId="6706E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2C5298F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w="2592" w:type="dxa"/>
            <w:vAlign w:val="top"/>
          </w:tcPr>
          <w:p w14:paraId="76F7165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实现图片校验和本地存储</w:t>
            </w:r>
          </w:p>
        </w:tc>
        <w:tc>
          <w:tcPr>
            <w:tcW w:w="4464" w:type="dxa"/>
            <w:vAlign w:val="top"/>
          </w:tcPr>
          <w:p w14:paraId="62DA032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限制类型、大小、空文件，保存到 uploads。</w:t>
            </w:r>
          </w:p>
        </w:tc>
        <w:tc>
          <w:tcPr>
            <w:tcW w:w="3024" w:type="dxa"/>
            <w:vAlign w:val="top"/>
          </w:tcPr>
          <w:p w14:paraId="7FB81F4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非法图片被拒绝，合法图片被保存。</w:t>
            </w:r>
          </w:p>
        </w:tc>
      </w:tr>
      <w:tr w14:paraId="737B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5DE9DFE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w="2592" w:type="dxa"/>
            <w:vAlign w:val="top"/>
          </w:tcPr>
          <w:p w14:paraId="2F84626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实现模拟 AI 分析结果</w:t>
            </w:r>
          </w:p>
        </w:tc>
        <w:tc>
          <w:tcPr>
            <w:tcW w:w="4464" w:type="dxa"/>
            <w:vAlign w:val="top"/>
          </w:tcPr>
          <w:p w14:paraId="1379D67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生成 overallScore、metrics、insight、routineSuggestion。</w:t>
            </w:r>
          </w:p>
        </w:tc>
        <w:tc>
          <w:tcPr>
            <w:tcW w:w="3024" w:type="dxa"/>
            <w:vAlign w:val="top"/>
          </w:tcPr>
          <w:p w14:paraId="736CB8B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接口返回完整结构化报告。</w:t>
            </w:r>
          </w:p>
        </w:tc>
      </w:tr>
      <w:tr w14:paraId="4749E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74F7F51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w="2592" w:type="dxa"/>
            <w:vAlign w:val="top"/>
          </w:tcPr>
          <w:p w14:paraId="0E0ACDB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前端接入后端接口</w:t>
            </w:r>
          </w:p>
        </w:tc>
        <w:tc>
          <w:tcPr>
            <w:tcW w:w="4464" w:type="dxa"/>
            <w:vAlign w:val="top"/>
          </w:tcPr>
          <w:p w14:paraId="63B3164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 SkinScanDemo 调用 API，不改视觉。</w:t>
            </w:r>
          </w:p>
        </w:tc>
        <w:tc>
          <w:tcPr>
            <w:tcW w:w="3024" w:type="dxa"/>
            <w:vAlign w:val="top"/>
          </w:tcPr>
          <w:p w14:paraId="65E23A1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前端能展示真实接口返回的数据。</w:t>
            </w:r>
          </w:p>
        </w:tc>
      </w:tr>
      <w:tr w14:paraId="4730E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4F40E5D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w="2592" w:type="dxa"/>
            <w:vAlign w:val="top"/>
          </w:tcPr>
          <w:p w14:paraId="1B5548C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接入 SQLite 数据库</w:t>
            </w:r>
          </w:p>
        </w:tc>
        <w:tc>
          <w:tcPr>
            <w:tcW w:w="4464" w:type="dxa"/>
            <w:vAlign w:val="top"/>
          </w:tcPr>
          <w:p w14:paraId="702B225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保存图片路径、分析时间、评分、指标 JSON。</w:t>
            </w:r>
          </w:p>
        </w:tc>
        <w:tc>
          <w:tcPr>
            <w:tcW w:w="3024" w:type="dxa"/>
            <w:vAlign w:val="top"/>
          </w:tcPr>
          <w:p w14:paraId="661803C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分析记录可持久化。</w:t>
            </w:r>
          </w:p>
        </w:tc>
      </w:tr>
      <w:tr w14:paraId="73AD9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08B21A5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w="2592" w:type="dxa"/>
            <w:vAlign w:val="top"/>
          </w:tcPr>
          <w:p w14:paraId="5A52D1B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实现历史报告查询</w:t>
            </w:r>
          </w:p>
        </w:tc>
        <w:tc>
          <w:tcPr>
            <w:tcW w:w="4464" w:type="dxa"/>
            <w:vAlign w:val="top"/>
          </w:tcPr>
          <w:p w14:paraId="6F9D69B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实现 GET 列表和 GET 单个报告。</w:t>
            </w:r>
          </w:p>
        </w:tc>
        <w:tc>
          <w:tcPr>
            <w:tcW w:w="3024" w:type="dxa"/>
            <w:vAlign w:val="top"/>
          </w:tcPr>
          <w:p w14:paraId="0DDBA23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可查询历史分析记录。</w:t>
            </w:r>
          </w:p>
        </w:tc>
      </w:tr>
      <w:tr w14:paraId="5CF75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06AA163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w="2592" w:type="dxa"/>
            <w:vAlign w:val="top"/>
          </w:tcPr>
          <w:p w14:paraId="72E9665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优化错误处理和响应格式</w:t>
            </w:r>
          </w:p>
        </w:tc>
        <w:tc>
          <w:tcPr>
            <w:tcW w:w="4464" w:type="dxa"/>
            <w:vAlign w:val="top"/>
          </w:tcPr>
          <w:p w14:paraId="5FD1336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统一成功/失败响应，补充异常处理。</w:t>
            </w:r>
          </w:p>
        </w:tc>
        <w:tc>
          <w:tcPr>
            <w:tcW w:w="3024" w:type="dxa"/>
            <w:vAlign w:val="top"/>
          </w:tcPr>
          <w:p w14:paraId="1727489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接口稳定、前端好处理。</w:t>
            </w:r>
          </w:p>
        </w:tc>
      </w:tr>
      <w:tr w14:paraId="4EFD7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76919C5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w="2592" w:type="dxa"/>
            <w:vAlign w:val="top"/>
          </w:tcPr>
          <w:p w14:paraId="5BE577C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部署后端到腾讯云</w:t>
            </w:r>
          </w:p>
        </w:tc>
        <w:tc>
          <w:tcPr>
            <w:tcW w:w="4464" w:type="dxa"/>
            <w:vAlign w:val="top"/>
          </w:tcPr>
          <w:p w14:paraId="1AED63E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使用 PM2 启动服务，Nginx 反代。</w:t>
            </w:r>
          </w:p>
        </w:tc>
        <w:tc>
          <w:tcPr>
            <w:tcW w:w="3024" w:type="dxa"/>
            <w:vAlign w:val="top"/>
          </w:tcPr>
          <w:p w14:paraId="52F835B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后端公网可访问。</w:t>
            </w:r>
          </w:p>
        </w:tc>
      </w:tr>
      <w:tr w14:paraId="09B0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7033A0F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w="2592" w:type="dxa"/>
            <w:vAlign w:val="top"/>
          </w:tcPr>
          <w:p w14:paraId="3A2DF0D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配置跨域、环境变量和安全限制</w:t>
            </w:r>
          </w:p>
        </w:tc>
        <w:tc>
          <w:tcPr>
            <w:tcW w:w="4464" w:type="dxa"/>
            <w:vAlign w:val="top"/>
          </w:tcPr>
          <w:p w14:paraId="3F7A86C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配置正式域名、上传限制、API 地址、HTTPS。</w:t>
            </w:r>
          </w:p>
        </w:tc>
        <w:tc>
          <w:tcPr>
            <w:tcW w:w="3024" w:type="dxa"/>
            <w:vAlign w:val="top"/>
          </w:tcPr>
          <w:p w14:paraId="2BE1919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生产环境更安全。</w:t>
            </w:r>
          </w:p>
        </w:tc>
      </w:tr>
      <w:tr w14:paraId="0FB1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vAlign w:val="top"/>
          </w:tcPr>
          <w:p w14:paraId="076256A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w="2592" w:type="dxa"/>
            <w:vAlign w:val="top"/>
          </w:tcPr>
          <w:p w14:paraId="1FECE05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后端最终检查和完整联调</w:t>
            </w:r>
          </w:p>
        </w:tc>
        <w:tc>
          <w:tcPr>
            <w:tcW w:w="4464" w:type="dxa"/>
            <w:vAlign w:val="top"/>
          </w:tcPr>
          <w:p w14:paraId="2253635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检查前后端流程、移动端、错误状态、合规文案。</w:t>
            </w:r>
          </w:p>
        </w:tc>
        <w:tc>
          <w:tcPr>
            <w:tcW w:w="3024" w:type="dxa"/>
            <w:vAlign w:val="top"/>
          </w:tcPr>
          <w:p w14:paraId="362E079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MVP 可演示、可部署、可继续迭代。</w:t>
            </w:r>
          </w:p>
        </w:tc>
      </w:tr>
    </w:tbl>
    <w:p w14:paraId="4044403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1817"/>
        <w:gridCol w:w="5855"/>
      </w:tblGrid>
      <w:tr w14:paraId="026B7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1F2937"/>
            <w:vAlign w:val="center"/>
          </w:tcPr>
          <w:p w14:paraId="6E408A6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w="1872" w:type="dxa"/>
            <w:shd w:val="clear" w:color="auto" w:fill="1F2937"/>
            <w:vAlign w:val="center"/>
          </w:tcPr>
          <w:p w14:paraId="2BCC489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步骤范围</w:t>
            </w:r>
          </w:p>
        </w:tc>
        <w:tc>
          <w:tcPr>
            <w:tcW w:w="6048" w:type="dxa"/>
            <w:shd w:val="clear" w:color="auto" w:fill="1F2937"/>
            <w:vAlign w:val="center"/>
          </w:tcPr>
          <w:p w14:paraId="5B7519C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</w:tr>
      <w:tr w14:paraId="4DA94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3A1C1A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第一阶段：后端跑起来</w:t>
            </w:r>
          </w:p>
        </w:tc>
        <w:tc>
          <w:tcPr>
            <w:tcW w:w="1872" w:type="dxa"/>
            <w:vAlign w:val="top"/>
          </w:tcPr>
          <w:p w14:paraId="2011527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 1 - 5 步</w:t>
            </w:r>
          </w:p>
        </w:tc>
        <w:tc>
          <w:tcPr>
            <w:tcW w:w="6048" w:type="dxa"/>
            <w:vAlign w:val="top"/>
          </w:tcPr>
          <w:p w14:paraId="0457DB0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服务基础、API 契约、上传、校验、模拟分析。</w:t>
            </w:r>
          </w:p>
        </w:tc>
      </w:tr>
      <w:tr w14:paraId="792C8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BEBAE7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第二阶段：前后端联通</w:t>
            </w:r>
          </w:p>
        </w:tc>
        <w:tc>
          <w:tcPr>
            <w:tcW w:w="1872" w:type="dxa"/>
            <w:vAlign w:val="top"/>
          </w:tcPr>
          <w:p w14:paraId="006EFE9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 6 - 9 步</w:t>
            </w:r>
          </w:p>
        </w:tc>
        <w:tc>
          <w:tcPr>
            <w:tcW w:w="6048" w:type="dxa"/>
            <w:vAlign w:val="top"/>
          </w:tcPr>
          <w:p w14:paraId="16AC990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前端接接口、数据库、历史报告、错误处理。</w:t>
            </w:r>
          </w:p>
        </w:tc>
      </w:tr>
      <w:tr w14:paraId="0D67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FA5B8F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第三阶段：上线部署</w:t>
            </w:r>
          </w:p>
        </w:tc>
        <w:tc>
          <w:tcPr>
            <w:tcW w:w="1872" w:type="dxa"/>
            <w:vAlign w:val="top"/>
          </w:tcPr>
          <w:p w14:paraId="383DB1F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 10 - 12 步</w:t>
            </w:r>
          </w:p>
        </w:tc>
        <w:tc>
          <w:tcPr>
            <w:tcW w:w="6048" w:type="dxa"/>
            <w:vAlign w:val="top"/>
          </w:tcPr>
          <w:p w14:paraId="29996D2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腾讯云部署、Nginx、HTTPS、安全配置、完整验收。</w:t>
            </w:r>
          </w:p>
        </w:tc>
      </w:tr>
    </w:tbl>
    <w:p w14:paraId="198FC14D"/>
    <w:p w14:paraId="75DBDBF1">
      <w:pPr>
        <w:pStyle w:val="3"/>
      </w:pPr>
      <w:r>
        <w:rPr>
          <w:rFonts w:ascii="Microsoft YaHei" w:hAnsi="Microsoft YaHei" w:eastAsia="Microsoft YaHei"/>
        </w:rPr>
        <w:t>6. 第一阶段 MVP API 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2911"/>
        <w:gridCol w:w="2458"/>
        <w:gridCol w:w="3696"/>
      </w:tblGrid>
      <w:tr w14:paraId="1920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1F2937"/>
            <w:vAlign w:val="center"/>
          </w:tcPr>
          <w:p w14:paraId="33A8EDD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w="3024" w:type="dxa"/>
            <w:shd w:val="clear" w:color="auto" w:fill="1F2937"/>
            <w:vAlign w:val="center"/>
          </w:tcPr>
          <w:p w14:paraId="1AF3D2E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w="2592" w:type="dxa"/>
            <w:shd w:val="clear" w:color="auto" w:fill="1F2937"/>
            <w:vAlign w:val="center"/>
          </w:tcPr>
          <w:p w14:paraId="6C83D00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接口名称</w:t>
            </w:r>
          </w:p>
        </w:tc>
        <w:tc>
          <w:tcPr>
            <w:tcW w:w="3888" w:type="dxa"/>
            <w:shd w:val="clear" w:color="auto" w:fill="1F2937"/>
            <w:vAlign w:val="center"/>
          </w:tcPr>
          <w:p w14:paraId="0E20617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 w14:paraId="70EE9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1DBE088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w="3024" w:type="dxa"/>
            <w:vAlign w:val="top"/>
          </w:tcPr>
          <w:p w14:paraId="4BED28F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/api/health</w:t>
            </w:r>
          </w:p>
        </w:tc>
        <w:tc>
          <w:tcPr>
            <w:tcW w:w="2592" w:type="dxa"/>
            <w:vAlign w:val="top"/>
          </w:tcPr>
          <w:p w14:paraId="05C17ED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  <w:tc>
          <w:tcPr>
            <w:tcW w:w="3888" w:type="dxa"/>
            <w:vAlign w:val="top"/>
          </w:tcPr>
          <w:p w14:paraId="47662A8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确认后端服务正在运行。</w:t>
            </w:r>
          </w:p>
        </w:tc>
      </w:tr>
      <w:tr w14:paraId="71BA0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4577D62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w="3024" w:type="dxa"/>
            <w:vAlign w:val="top"/>
          </w:tcPr>
          <w:p w14:paraId="7039CB2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/api/skin-analysis</w:t>
            </w:r>
          </w:p>
        </w:tc>
        <w:tc>
          <w:tcPr>
            <w:tcW w:w="2592" w:type="dxa"/>
            <w:vAlign w:val="top"/>
          </w:tcPr>
          <w:p w14:paraId="6F3CACA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上传图片并分析</w:t>
            </w:r>
          </w:p>
        </w:tc>
        <w:tc>
          <w:tcPr>
            <w:tcW w:w="3888" w:type="dxa"/>
            <w:vAlign w:val="top"/>
          </w:tcPr>
          <w:p w14:paraId="6E730F1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接收 image 文件，返回模拟 AI 肌肤分析结果。</w:t>
            </w:r>
          </w:p>
        </w:tc>
      </w:tr>
      <w:tr w14:paraId="52074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71337EC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w="3024" w:type="dxa"/>
            <w:vAlign w:val="top"/>
          </w:tcPr>
          <w:p w14:paraId="5E3C1C8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/api/skin-analysis</w:t>
            </w:r>
          </w:p>
        </w:tc>
        <w:tc>
          <w:tcPr>
            <w:tcW w:w="2592" w:type="dxa"/>
            <w:vAlign w:val="top"/>
          </w:tcPr>
          <w:p w14:paraId="2F61FE6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查询分析记录列表</w:t>
            </w:r>
          </w:p>
        </w:tc>
        <w:tc>
          <w:tcPr>
            <w:tcW w:w="3888" w:type="dxa"/>
            <w:vAlign w:val="top"/>
          </w:tcPr>
          <w:p w14:paraId="277B5B6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数据库接入后返回历史报告列表。</w:t>
            </w:r>
          </w:p>
        </w:tc>
      </w:tr>
      <w:tr w14:paraId="0F3BD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615F994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w="3024" w:type="dxa"/>
            <w:vAlign w:val="top"/>
          </w:tcPr>
          <w:p w14:paraId="0A98E54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/api/skin-analysis/:id</w:t>
            </w:r>
          </w:p>
        </w:tc>
        <w:tc>
          <w:tcPr>
            <w:tcW w:w="2592" w:type="dxa"/>
            <w:vAlign w:val="top"/>
          </w:tcPr>
          <w:p w14:paraId="48A64B8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查询单个分析报告</w:t>
            </w:r>
          </w:p>
        </w:tc>
        <w:tc>
          <w:tcPr>
            <w:tcW w:w="3888" w:type="dxa"/>
            <w:vAlign w:val="top"/>
          </w:tcPr>
          <w:p w14:paraId="167CF66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数据库接入后返回指定报告详情。</w:t>
            </w:r>
          </w:p>
        </w:tc>
      </w:tr>
    </w:tbl>
    <w:p w14:paraId="1539C5AA"/>
    <w:p w14:paraId="467D6B9F">
      <w:pPr>
        <w:pStyle w:val="5"/>
      </w:pPr>
      <w:r>
        <w:rPr>
          <w:rFonts w:ascii="Microsoft YaHei" w:hAnsi="Microsoft YaHei" w:eastAsia="Microsoft YaHei"/>
        </w:rPr>
        <w:t>健康检查返回示例：</w:t>
      </w:r>
    </w:p>
    <w:p w14:paraId="339CBD47">
      <w:pPr>
        <w:pStyle w:val="164"/>
      </w:pPr>
      <w:r>
        <w:rPr>
          <w:rFonts w:ascii="Microsoft YaHei" w:hAnsi="Microsoft YaHei" w:eastAsia="Microsoft YaHei"/>
          <w:sz w:val="18"/>
        </w:rPr>
        <w:t>{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"success": true,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"message": "LumiDerm AI backend is running",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"service": "lumiderm-ai-backend",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"version": "1.0.0"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}</w:t>
      </w:r>
      <w:r>
        <w:rPr>
          <w:rFonts w:ascii="Microsoft YaHei" w:hAnsi="Microsoft YaHei" w:eastAsia="Microsoft YaHei"/>
        </w:rPr>
        <w:br w:type="textWrapping"/>
      </w:r>
    </w:p>
    <w:p w14:paraId="03B56792">
      <w:pPr>
        <w:pStyle w:val="5"/>
      </w:pPr>
      <w:r>
        <w:rPr>
          <w:rFonts w:ascii="Microsoft YaHei" w:hAnsi="Microsoft YaHei" w:eastAsia="Microsoft YaHei"/>
        </w:rPr>
        <w:t>上传图片并分析返回核心结构：</w:t>
      </w:r>
    </w:p>
    <w:p w14:paraId="494CEBBA">
      <w:pPr>
        <w:pStyle w:val="164"/>
      </w:pPr>
      <w:r>
        <w:rPr>
          <w:rFonts w:ascii="Microsoft YaHei" w:hAnsi="Microsoft YaHei" w:eastAsia="Microsoft YaHei"/>
          <w:sz w:val="18"/>
        </w:rPr>
        <w:t>{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"success": true,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"data": {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"analysisId": "demo_001",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"imageUrl": "/uploads/demo-face.jpg",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"overallScore": 86,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"metrics": [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  { "id": "hydration", "zhLabel": "水分状态", "value": 78, "status": "Good" },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  { "id": "pores", "zhLabel": "毛孔可见度", "value": 24, "status": "Low" },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  { "id": "acne", "zhLabel": "痘痘倾向", "value": 18, "status": "Low" }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],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"insight": {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  "zh": "模拟结果显示肤色均匀度较好，瑕疵倾向较低，建议重点关注补水维持与温和纹理管理。"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},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"routineSuggestion": {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  "priorities": ["Hydration Support", "Texture Refinement", "Barrier Care", "Daily Protection"]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},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"disclaimer": "Cosmetic analysis demo only. Not for medical diagnosis."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}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}</w:t>
      </w:r>
      <w:r>
        <w:rPr>
          <w:rFonts w:ascii="Microsoft YaHei" w:hAnsi="Microsoft YaHei" w:eastAsia="Microsoft YaHei"/>
        </w:rPr>
        <w:br w:type="textWrapping"/>
      </w:r>
    </w:p>
    <w:p w14:paraId="4A28BA53">
      <w:pPr>
        <w:pStyle w:val="3"/>
      </w:pPr>
      <w:r>
        <w:rPr>
          <w:rFonts w:ascii="Microsoft YaHei" w:hAnsi="Microsoft YaHei" w:eastAsia="Microsoft YaHei"/>
        </w:rPr>
        <w:t>7. 后端项目目录结构建议</w:t>
      </w:r>
    </w:p>
    <w:p w14:paraId="2246141F">
      <w:r>
        <w:rPr>
          <w:rFonts w:ascii="Microsoft YaHei" w:hAnsi="Microsoft YaHei" w:eastAsia="Microsoft YaHei"/>
        </w:rPr>
        <w:t>建议在项目根目录新增 backend，不要把后端文件混进前端 src 目录。这样能够保护已经完成的前端成果，也方便后续部署。</w:t>
      </w:r>
    </w:p>
    <w:p w14:paraId="2D5EE48E">
      <w:pPr>
        <w:pStyle w:val="164"/>
      </w:pPr>
      <w:r>
        <w:rPr>
          <w:rFonts w:ascii="Microsoft YaHei" w:hAnsi="Microsoft YaHei" w:eastAsia="Microsoft YaHei"/>
          <w:sz w:val="18"/>
        </w:rPr>
        <w:t>lumiderm-ai/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├─ src/                         # 当前前端源码，保持不动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├─ package.json                  # 当前前端 package.json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├─ vite.config.js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├─ backend/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├─ src/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├─ app.js                  # Express 应用配置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├─ server.js               # 服务启动入口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├─ routes/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│  ├─ health.routes.js     # 健康检查路由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│  └─ skinAnalysis.routes.js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├─ controllers/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│  └─ skinAnalysis.controller.js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├─ services/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│  └─ mockAnalysis.service.js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├─ middlewares/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│  ├─ upload.middleware.js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│  └─ error.middleware.js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├─ utils/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│  └─ response.js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└─ db/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   └─ database.js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├─ uploads/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│  └─ .gitkeep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├─ .env.example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├─ .gitignore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├─ package.json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│  └─ README.md</w:t>
      </w:r>
      <w:r>
        <w:rPr>
          <w:rFonts w:ascii="Microsoft YaHei" w:hAnsi="Microsoft YaHei" w:eastAsia="Microsoft YaHei"/>
        </w:rPr>
        <w:br w:type="textWrapping"/>
      </w:r>
    </w:p>
    <w:p w14:paraId="71BA2E03">
      <w:pPr>
        <w:pStyle w:val="3"/>
      </w:pPr>
      <w:r>
        <w:rPr>
          <w:rFonts w:ascii="Microsoft YaHei" w:hAnsi="Microsoft YaHei" w:eastAsia="Microsoft YaHei"/>
        </w:rPr>
        <w:t>8. 前后端联调方式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912"/>
      </w:tblGrid>
      <w:tr w14:paraId="3212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68" w:type="dxa"/>
            <w:shd w:val="clear" w:color="auto" w:fill="1F2937"/>
            <w:vAlign w:val="center"/>
          </w:tcPr>
          <w:p w14:paraId="6520953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配置项</w:t>
            </w:r>
          </w:p>
        </w:tc>
        <w:tc>
          <w:tcPr>
            <w:tcW w:w="6912" w:type="dxa"/>
            <w:shd w:val="clear" w:color="auto" w:fill="1F2937"/>
            <w:vAlign w:val="center"/>
          </w:tcPr>
          <w:p w14:paraId="1BAAD9D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建议值</w:t>
            </w:r>
          </w:p>
        </w:tc>
      </w:tr>
      <w:tr w14:paraId="07022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E2EBDA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前端本地地址</w:t>
            </w:r>
          </w:p>
        </w:tc>
        <w:tc>
          <w:tcPr>
            <w:tcW w:w="6912" w:type="dxa"/>
            <w:vAlign w:val="top"/>
          </w:tcPr>
          <w:p w14:paraId="05020D0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http://localhost:5173</w:t>
            </w:r>
          </w:p>
        </w:tc>
      </w:tr>
      <w:tr w14:paraId="23F95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755FE2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后端本地地址</w:t>
            </w:r>
          </w:p>
        </w:tc>
        <w:tc>
          <w:tcPr>
            <w:tcW w:w="6912" w:type="dxa"/>
            <w:vAlign w:val="top"/>
          </w:tcPr>
          <w:p w14:paraId="1F57690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http://localhost:3001</w:t>
            </w:r>
          </w:p>
        </w:tc>
      </w:tr>
      <w:tr w14:paraId="5D27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01049F6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前端环境变量</w:t>
            </w:r>
          </w:p>
        </w:tc>
        <w:tc>
          <w:tcPr>
            <w:tcW w:w="6912" w:type="dxa"/>
            <w:vAlign w:val="top"/>
          </w:tcPr>
          <w:p w14:paraId="265EFFC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VITE_API_BASE_URL=http://localhost:3001</w:t>
            </w:r>
          </w:p>
        </w:tc>
      </w:tr>
      <w:tr w14:paraId="381A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147A1B2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 CORS 开发允许源</w:t>
            </w:r>
          </w:p>
        </w:tc>
        <w:tc>
          <w:tcPr>
            <w:tcW w:w="6912" w:type="dxa"/>
            <w:vAlign w:val="top"/>
          </w:tcPr>
          <w:p w14:paraId="484442B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FRONTEND_ORIGIN=http://localhost:5173</w:t>
            </w:r>
          </w:p>
        </w:tc>
      </w:tr>
      <w:tr w14:paraId="6AC94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7CB53A9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上传接口字段名</w:t>
            </w:r>
          </w:p>
        </w:tc>
        <w:tc>
          <w:tcPr>
            <w:tcW w:w="6912" w:type="dxa"/>
            <w:vAlign w:val="top"/>
          </w:tcPr>
          <w:p w14:paraId="51E75F0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image</w:t>
            </w:r>
          </w:p>
        </w:tc>
      </w:tr>
      <w:tr w14:paraId="615A2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67B8A81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请求类型</w:t>
            </w:r>
          </w:p>
        </w:tc>
        <w:tc>
          <w:tcPr>
            <w:tcW w:w="6912" w:type="dxa"/>
            <w:vAlign w:val="top"/>
          </w:tcPr>
          <w:p w14:paraId="23BA5EC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multipart/form-data</w:t>
            </w:r>
          </w:p>
        </w:tc>
      </w:tr>
    </w:tbl>
    <w:p w14:paraId="1E00680A"/>
    <w:p w14:paraId="20ACE73B">
      <w:pPr>
        <w:pStyle w:val="164"/>
      </w:pPr>
      <w:r>
        <w:rPr>
          <w:rFonts w:ascii="Microsoft YaHei" w:hAnsi="Microsoft YaHei" w:eastAsia="Microsoft YaHei"/>
          <w:sz w:val="18"/>
        </w:rPr>
        <w:t>前端请求逻辑：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const formData = new FormData();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formData.append('image', selectedFile);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fetch(`${import.meta.env.VITE_API_BASE_URL}/api/skin-analysis`, {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method: 'POST',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body: formData,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});</w:t>
      </w:r>
      <w:r>
        <w:rPr>
          <w:rFonts w:ascii="Microsoft YaHei" w:hAnsi="Microsoft YaHei" w:eastAsia="Microsoft YaHei"/>
        </w:rPr>
        <w:br w:type="textWrapping"/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1109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FF7ED"/>
          </w:tcPr>
          <w:p w14:paraId="4186D4A3"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22"/>
              </w:rPr>
              <w:t>联调原则</w:t>
            </w:r>
          </w:p>
          <w:p w14:paraId="5A4F6B07"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第 6 步前端接入时，只修改数据来源和上传逻辑，不重构 SkinScanDemo 的视觉、布局、动画和模块结构。</w:t>
            </w:r>
          </w:p>
        </w:tc>
      </w:tr>
    </w:tbl>
    <w:p w14:paraId="59050C78"/>
    <w:p w14:paraId="255F1914">
      <w:pPr>
        <w:pStyle w:val="3"/>
      </w:pPr>
      <w:r>
        <w:rPr>
          <w:rFonts w:ascii="Microsoft YaHei" w:hAnsi="Microsoft YaHei" w:eastAsia="Microsoft YaHei"/>
        </w:rPr>
        <w:t>9. 腾讯云部署思路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7891"/>
      </w:tblGrid>
      <w:tr w14:paraId="0EA50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04" w:type="dxa"/>
            <w:shd w:val="clear" w:color="auto" w:fill="1F2937"/>
            <w:vAlign w:val="center"/>
          </w:tcPr>
          <w:p w14:paraId="01FC89C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部署项</w:t>
            </w:r>
          </w:p>
        </w:tc>
        <w:tc>
          <w:tcPr>
            <w:tcW w:w="7920" w:type="dxa"/>
            <w:shd w:val="clear" w:color="auto" w:fill="1F2937"/>
            <w:vAlign w:val="center"/>
          </w:tcPr>
          <w:p w14:paraId="59A5DAF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</w:t>
            </w:r>
          </w:p>
        </w:tc>
      </w:tr>
      <w:tr w14:paraId="73DD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43C32AD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w="7920" w:type="dxa"/>
            <w:vAlign w:val="top"/>
          </w:tcPr>
          <w:p w14:paraId="52DC649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Vite build 后由 Nginx 提供静态站点。</w:t>
            </w:r>
          </w:p>
        </w:tc>
      </w:tr>
      <w:tr w14:paraId="6856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7F1DC4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w="7920" w:type="dxa"/>
            <w:vAlign w:val="top"/>
          </w:tcPr>
          <w:p w14:paraId="3C94738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Node.js + Express 服务，用 PM2 运行并保活。</w:t>
            </w:r>
          </w:p>
        </w:tc>
      </w:tr>
      <w:tr w14:paraId="56022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8C2239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反向代理</w:t>
            </w:r>
          </w:p>
        </w:tc>
        <w:tc>
          <w:tcPr>
            <w:tcW w:w="7920" w:type="dxa"/>
            <w:vAlign w:val="top"/>
          </w:tcPr>
          <w:p w14:paraId="11C3271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Nginx 将 /api 转发到 127.0.0.1:3001。</w:t>
            </w:r>
          </w:p>
        </w:tc>
      </w:tr>
      <w:tr w14:paraId="74888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CE22D1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上传图片</w:t>
            </w:r>
          </w:p>
        </w:tc>
        <w:tc>
          <w:tcPr>
            <w:tcW w:w="7920" w:type="dxa"/>
            <w:vAlign w:val="top"/>
          </w:tcPr>
          <w:p w14:paraId="49B86EC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第一阶段可使用本地 uploads；后续升级腾讯云 COS。</w:t>
            </w:r>
          </w:p>
        </w:tc>
      </w:tr>
      <w:tr w14:paraId="0EB28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3753DB8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w="7920" w:type="dxa"/>
            <w:vAlign w:val="top"/>
          </w:tcPr>
          <w:p w14:paraId="47DDCF9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第一阶段 SQLite；后续升级 PostgreSQL。</w:t>
            </w:r>
          </w:p>
        </w:tc>
      </w:tr>
      <w:tr w14:paraId="3C04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3946FBA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HTTPS</w:t>
            </w:r>
          </w:p>
        </w:tc>
        <w:tc>
          <w:tcPr>
            <w:tcW w:w="7920" w:type="dxa"/>
            <w:vAlign w:val="top"/>
          </w:tcPr>
          <w:p w14:paraId="163884A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使用域名证书，通过 Nginx 配置 443。</w:t>
            </w:r>
          </w:p>
        </w:tc>
      </w:tr>
      <w:tr w14:paraId="61F3B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083A1C6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安全组</w:t>
            </w:r>
          </w:p>
        </w:tc>
        <w:tc>
          <w:tcPr>
            <w:tcW w:w="7920" w:type="dxa"/>
            <w:vAlign w:val="top"/>
          </w:tcPr>
          <w:p w14:paraId="0015455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推荐只开放 80/443，后端 3001 仅本机访问。</w:t>
            </w:r>
          </w:p>
        </w:tc>
      </w:tr>
      <w:tr w14:paraId="4298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0984A64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多网站共存</w:t>
            </w:r>
          </w:p>
        </w:tc>
        <w:tc>
          <w:tcPr>
            <w:tcW w:w="7920" w:type="dxa"/>
            <w:vAlign w:val="top"/>
          </w:tcPr>
          <w:p w14:paraId="6EF7CAC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新增独立 Nginx server 或 location，不覆盖之前成功部署的网站。</w:t>
            </w:r>
          </w:p>
        </w:tc>
      </w:tr>
    </w:tbl>
    <w:p w14:paraId="74407DF7"/>
    <w:p w14:paraId="08D64F9F">
      <w:pPr>
        <w:pStyle w:val="164"/>
      </w:pPr>
      <w:r>
        <w:rPr>
          <w:rFonts w:ascii="Microsoft YaHei" w:hAnsi="Microsoft YaHei" w:eastAsia="Microsoft YaHei"/>
          <w:sz w:val="18"/>
        </w:rPr>
        <w:t>推荐线上访问结构：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https://你的域名.com          → 前端官网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https://你的域名.com/api      → 后端接口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https://你的域名.com/uploads  → 上传图片静态访问或后端静态映射</w:t>
      </w:r>
      <w:r>
        <w:rPr>
          <w:rFonts w:ascii="Microsoft YaHei" w:hAnsi="Microsoft YaHei" w:eastAsia="Microsoft YaHei"/>
        </w:rPr>
        <w:br w:type="textWrapping"/>
      </w:r>
    </w:p>
    <w:p w14:paraId="6DD223BD">
      <w:pPr>
        <w:pStyle w:val="3"/>
      </w:pPr>
      <w:r>
        <w:rPr>
          <w:rFonts w:ascii="Microsoft YaHei" w:hAnsi="Microsoft YaHei" w:eastAsia="Microsoft YaHei"/>
        </w:rPr>
        <w:t>10. 数据合规与安全边界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8179"/>
      </w:tblGrid>
      <w:tr w14:paraId="59A04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6" w:type="dxa"/>
            <w:shd w:val="clear" w:color="auto" w:fill="1F2937"/>
            <w:vAlign w:val="center"/>
          </w:tcPr>
          <w:p w14:paraId="43DC7E0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w="8208" w:type="dxa"/>
            <w:shd w:val="clear" w:color="auto" w:fill="1F2937"/>
            <w:vAlign w:val="center"/>
          </w:tcPr>
          <w:p w14:paraId="19CEC43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</w:tr>
      <w:tr w14:paraId="0A867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3B6ABE5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必须保留</w:t>
            </w:r>
          </w:p>
        </w:tc>
        <w:tc>
          <w:tcPr>
            <w:tcW w:w="8208" w:type="dxa"/>
            <w:vAlign w:val="top"/>
          </w:tcPr>
          <w:p w14:paraId="1E1DC44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Cosmetic analysis demo only. Not for medical diagnosis.</w:t>
            </w:r>
          </w:p>
        </w:tc>
      </w:tr>
      <w:tr w14:paraId="38D77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3190E39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中文提示</w:t>
            </w:r>
          </w:p>
        </w:tc>
        <w:tc>
          <w:tcPr>
            <w:tcW w:w="8208" w:type="dxa"/>
            <w:vAlign w:val="top"/>
          </w:tcPr>
          <w:p w14:paraId="6AD5770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本演示仅用于美容护肤分析概念展示，不构成医疗诊断或治疗建议。</w:t>
            </w:r>
          </w:p>
        </w:tc>
      </w:tr>
      <w:tr w14:paraId="1CA0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60D5431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可以使用</w:t>
            </w:r>
          </w:p>
        </w:tc>
        <w:tc>
          <w:tcPr>
            <w:tcW w:w="8208" w:type="dxa"/>
            <w:vAlign w:val="top"/>
          </w:tcPr>
          <w:p w14:paraId="6623D55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美容护肤分析、模拟分析、肌肤观察、护理方向、个性化护肤建议、数字化美业体验。</w:t>
            </w:r>
          </w:p>
        </w:tc>
      </w:tr>
      <w:tr w14:paraId="7547A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177B71D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禁止使用</w:t>
            </w:r>
          </w:p>
        </w:tc>
        <w:tc>
          <w:tcPr>
            <w:tcW w:w="8208" w:type="dxa"/>
            <w:vAlign w:val="top"/>
          </w:tcPr>
          <w:p w14:paraId="13EE533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诊断、治疗、疾病检测、医疗级、临床级、100% 准确、保证改善、治愈、永久改善。</w:t>
            </w:r>
          </w:p>
        </w:tc>
      </w:tr>
      <w:tr w14:paraId="58AD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25FDCA0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图片安全</w:t>
            </w:r>
          </w:p>
        </w:tc>
        <w:tc>
          <w:tcPr>
            <w:tcW w:w="8208" w:type="dxa"/>
            <w:vAlign w:val="top"/>
          </w:tcPr>
          <w:p w14:paraId="6781ED7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限制文件类型和大小，避免无限制上传；不要把上传目录设计成无限开放资产库。</w:t>
            </w:r>
          </w:p>
        </w:tc>
      </w:tr>
      <w:tr w14:paraId="1129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0363418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密钥安全</w:t>
            </w:r>
          </w:p>
        </w:tc>
        <w:tc>
          <w:tcPr>
            <w:tcW w:w="8208" w:type="dxa"/>
            <w:vAlign w:val="top"/>
          </w:tcPr>
          <w:p w14:paraId="318AB3B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不提交 .env，不把 SSH 私钥、腾讯云密钥写进代码或发给 Codex。</w:t>
            </w:r>
          </w:p>
        </w:tc>
      </w:tr>
    </w:tbl>
    <w:p w14:paraId="05B025C4"/>
    <w:p w14:paraId="1856500E">
      <w:pPr>
        <w:pStyle w:val="3"/>
      </w:pPr>
      <w:r>
        <w:rPr>
          <w:rFonts w:ascii="Microsoft YaHei" w:hAnsi="Microsoft YaHei" w:eastAsia="Microsoft YaHei"/>
        </w:rPr>
        <w:t>11. 需要用户提供的信息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3"/>
        <w:gridCol w:w="7645"/>
      </w:tblGrid>
      <w:tr w14:paraId="7F076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1F2937"/>
            <w:vAlign w:val="center"/>
          </w:tcPr>
          <w:p w14:paraId="30CDF64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w="7776" w:type="dxa"/>
            <w:shd w:val="clear" w:color="auto" w:fill="1F2937"/>
            <w:vAlign w:val="center"/>
          </w:tcPr>
          <w:p w14:paraId="3536124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需要的信息</w:t>
            </w:r>
          </w:p>
        </w:tc>
      </w:tr>
      <w:tr w14:paraId="5BF57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9DFCF3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现在第 1 步必须确认</w:t>
            </w:r>
          </w:p>
        </w:tc>
        <w:tc>
          <w:tcPr>
            <w:tcW w:w="7776" w:type="dxa"/>
            <w:vAlign w:val="top"/>
          </w:tcPr>
          <w:p w14:paraId="2C25EF0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是否允许在项目根目录新增 backend 文件夹；当前项目目录结构；前端启动命令。</w:t>
            </w:r>
          </w:p>
        </w:tc>
      </w:tr>
      <w:tr w14:paraId="444F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3F1B0B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 6 步前端接入前需要</w:t>
            </w:r>
          </w:p>
        </w:tc>
        <w:tc>
          <w:tcPr>
            <w:tcW w:w="7776" w:type="dxa"/>
            <w:vAlign w:val="top"/>
          </w:tcPr>
          <w:p w14:paraId="3C010AF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SkinScanDemo 组件路径；模拟数据所在文件；前端环境变量配置方式。</w:t>
            </w:r>
          </w:p>
        </w:tc>
      </w:tr>
      <w:tr w14:paraId="233B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4C5378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 10 步部署前需要</w:t>
            </w:r>
          </w:p>
        </w:tc>
        <w:tc>
          <w:tcPr>
            <w:tcW w:w="7776" w:type="dxa"/>
            <w:vAlign w:val="top"/>
          </w:tcPr>
          <w:p w14:paraId="15BB87B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腾讯云服务器系统；Node/Nginx/PM2 是否已安装；域名；是否已有 HTTPS 证书；之前两个网站的部署路径，避免覆盖。</w:t>
            </w:r>
          </w:p>
        </w:tc>
      </w:tr>
      <w:tr w14:paraId="46560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930EB3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始终不要提供</w:t>
            </w:r>
          </w:p>
        </w:tc>
        <w:tc>
          <w:tcPr>
            <w:tcW w:w="7776" w:type="dxa"/>
            <w:vAlign w:val="top"/>
          </w:tcPr>
          <w:p w14:paraId="112032F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SSH 私钥、腾讯云 SecretId/SecretKey、数据库密码明文截图、真实用户敏感照片。</w:t>
            </w:r>
          </w:p>
        </w:tc>
      </w:tr>
    </w:tbl>
    <w:p w14:paraId="16684477"/>
    <w:p w14:paraId="7CD86E9D">
      <w:pPr>
        <w:pStyle w:val="3"/>
      </w:pPr>
      <w:r>
        <w:rPr>
          <w:rFonts w:ascii="Microsoft YaHei" w:hAnsi="Microsoft YaHei" w:eastAsia="Microsoft YaHei"/>
        </w:rPr>
        <w:t>12. 后端第 1 步 Codex 执行 Prompt</w:t>
      </w:r>
    </w:p>
    <w:p w14:paraId="0F3E85A4">
      <w:r>
        <w:rPr>
          <w:rFonts w:ascii="Microsoft YaHei" w:hAnsi="Microsoft YaHei" w:eastAsia="Microsoft YaHei"/>
        </w:rPr>
        <w:t>下面这段可以直接发给 Codex，用来开启后端第 1 步。</w:t>
      </w:r>
    </w:p>
    <w:p w14:paraId="13A3253E">
      <w:pPr>
        <w:pStyle w:val="164"/>
      </w:pPr>
      <w:r>
        <w:rPr>
          <w:rFonts w:ascii="Microsoft YaHei" w:hAnsi="Microsoft YaHei" w:eastAsia="Microsoft YaHei"/>
          <w:sz w:val="18"/>
        </w:rPr>
        <w:t>现在开始 LumiDerm AI 后端开发第 1 步：建立后端基础服务层。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请注意：前端官网已经完成 12 步精修，目前是稳定成果。你这一步只能新增后端基础工程，不要修改任何前端页面、组件、样式、动画、模拟数据或视觉结构。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本步骤目标：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建立一个独立、干净、可扩展的 Node.js + Express 后端基础服务，为后续图片上传、模拟 AI 肌肤分析、数据库记录和前后端联调做准备。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请只完成以下内容：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1. 在项目根目录新增 backend/ 文件夹。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2. 初始化 Node.js 后端项目。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3. 使用 Express 建立基础服务。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4. 安装并配置 express、cors、dotenv、nodemon。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5. 设置默认端口为 3001。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6. 创建 GET /api/health 健康检查接口，返回：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{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 "success": true,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 "message": "LumiDerm AI backend is running",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 "service": "lumiderm-ai-backend",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  "version": "1.0.0"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}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7. 创建基础目录结构：src/app.js、src/server.js、routes、middlewares、utils、uploads、.env.example、.gitignore、README.md。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8. .env.example 至少包含：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PORT=3001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NODE_ENV=development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 xml:space="preserve">   FRONTEND_ORIGIN=http://localhost:5173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9. .gitignore 必须确保 node_modules、.env、uploads/* 不被提交，但保留 uploads/.gitkeep。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10. uploads/ 目录可以先创建，但本步骤不要实现图片上传逻辑。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11. 配置基础 CORS，开发阶段允许 http://localhost:5173。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12. 添加统一响应工具 successResponse 和 errorResponse。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13. 添加基础错误处理中间件。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14. 在 backend/README.md 中写明安装、启动、测试 /api/health 的方法。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严格限制：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- 不要修改前端代码。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- 不要修改 SkinScanDemo。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- 不要实现图片上传。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- 不要接入数据库。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- 不要接入真实 AI。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- 不要做用户登录。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- 不要做支付。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- 不要部署腾讯云。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- 不要把密钥写进代码。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- 不要提交 .env。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完成后请输出：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1. 新增了哪些文件。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2. 每个文件的作用。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3. 如何启动后端。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4. 如何测试健康检查接口。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  <w:sz w:val="18"/>
        </w:rPr>
        <w:t>5. 下一步应该进入什么开发阶段。</w:t>
      </w:r>
      <w:r>
        <w:rPr>
          <w:rFonts w:ascii="Microsoft YaHei" w:hAnsi="Microsoft YaHei" w:eastAsia="Microsoft YaHei"/>
        </w:rPr>
        <w:br w:type="textWrapping"/>
      </w:r>
    </w:p>
    <w:p w14:paraId="1276B05D">
      <w:pPr>
        <w:pStyle w:val="3"/>
      </w:pPr>
      <w:r>
        <w:rPr>
          <w:rFonts w:ascii="Microsoft YaHei" w:hAnsi="Microsoft YaHei" w:eastAsia="Microsoft YaHei"/>
        </w:rPr>
        <w:t>结论</w:t>
      </w:r>
    </w:p>
    <w:p w14:paraId="44CB596A">
      <w:r>
        <w:rPr>
          <w:rFonts w:ascii="Microsoft YaHei" w:hAnsi="Microsoft YaHei" w:eastAsia="Microsoft YaHei"/>
        </w:rPr>
        <w:t>LumiDerm AI 后端开发建议保持 12 步节奏。第一阶段重点是快速建立真实上传与模拟分析闭环；第二阶段再接数据库和历史报告；第三阶段完成腾讯云上线和安全配置。</w:t>
      </w:r>
    </w:p>
    <w:p w14:paraId="3137F4A6">
      <w:r>
        <w:rPr>
          <w:rFonts w:ascii="Microsoft YaHei" w:hAnsi="Microsoft YaHei" w:eastAsia="Microsoft YaHei"/>
        </w:rPr>
        <w:t>最重要的开发原则是：后端新增，不侵入前端；MVP 优先，不一开始做重；美容护肤分析定位，不写医疗诊断文案。</w:t>
      </w:r>
    </w:p>
    <w:sectPr>
      <w:headerReference r:id="rId5" w:type="default"/>
      <w:footerReference r:id="rId6" w:type="default"/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F8B0E">
    <w:pPr>
      <w:pStyle w:val="24"/>
      <w:jc w:val="center"/>
    </w:pPr>
    <w:r>
      <w:rPr>
        <w:rFonts w:ascii="Microsoft YaHei" w:hAnsi="Microsoft YaHei" w:eastAsia="Microsoft YaHei"/>
        <w:color w:val="6B7280"/>
        <w:sz w:val="18"/>
      </w:rPr>
      <w:t>MVP 优先 · 不破坏前端 · 分步骤开发 · 合规表达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DF95E">
    <w:pPr>
      <w:pStyle w:val="25"/>
      <w:jc w:val="right"/>
    </w:pPr>
    <w:r>
      <w:rPr>
        <w:rFonts w:ascii="Microsoft YaHei" w:hAnsi="Microsoft YaHei" w:eastAsia="Microsoft YaHei"/>
        <w:color w:val="6B7280"/>
        <w:sz w:val="18"/>
      </w:rPr>
      <w:t>LumiDerm AI 后端开发完整规划文档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1665C"/>
    <w:rsid w:val="1454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1182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2937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74151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11827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80" w:after="120" w:line="252" w:lineRule="auto"/>
      <w:ind w:left="227" w:right="113"/>
    </w:pPr>
    <w:rPr>
      <w:rFonts w:ascii="Consolas" w:hAnsi="Consolas" w:eastAsia="Microsoft YaHei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446</Words>
  <Characters>586</Characters>
  <Lines>0</Lines>
  <Paragraphs>0</Paragraphs>
  <TotalTime>0</TotalTime>
  <ScaleCrop>false</ScaleCrop>
  <LinksUpToDate>false</LinksUpToDate>
  <CharactersWithSpaces>661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2026-07-01T15:52:45Z</dcterms:modified>
  <cp:revision>1</cp:revision>
</cp:coreProperties>
</file>