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B63"/>
        </w:rPr>
        <w:t>DMS — Base de Setembro/2026</w:t>
      </w:r>
    </w:p>
    <w:p>
      <w:r>
        <w:rPr>
          <w:i/>
          <w:color w:val="555555"/>
        </w:rPr>
        <w:t>Visão Organizacional: Ativos por Cargo, Administração por Head/C-Level e Insights por Setor</w:t>
      </w:r>
    </w:p>
    <w:p>
      <w:r>
        <w:t>Documento gerado a partir da planilha "Base_Setembro26". Escopo: colaboradores com situação ATIVO.</w:t>
      </w:r>
    </w:p>
    <w:p>
      <w:pPr>
        <w:pStyle w:val="Heading1"/>
      </w:pPr>
      <w:r>
        <w:rPr>
          <w:color w:val="1F3B63"/>
        </w:rPr>
        <w:t>1. Resumo Executivo</w:t>
      </w:r>
    </w:p>
    <w:p>
      <w:r>
        <w:t>A base de Setembro/26 contém 323 registros considerados no mês; destes, 311 estão ATIVOS (os demais estão em aviso prévio, transição de contrato ou off boarding). O custo total mensal dos ativos é de R$ 4.283.288, com custo médio de R$ 13.773 por pessoa.</w:t>
      </w:r>
    </w:p>
    <w:p>
      <w:r>
        <w:t>A operação é fortemente concentrada no Brasil (294 de 311 ativos) e opera com cinco grandes frentes de liderança (C-Level): COO, CITO, CFSO, CMO e Co-CEO. A estrutura de contratação é predominantemente PJ (179), seguida de CLT (91) e estágio (22).</w:t>
      </w:r>
    </w:p>
    <w:p>
      <w:pPr>
        <w:pStyle w:val="Heading1"/>
      </w:pPr>
      <w:r>
        <w:rPr>
          <w:color w:val="1F3B63"/>
        </w:rPr>
        <w:t>2. Distribuição de Ativos por Cargo (Nível)</w:t>
      </w:r>
    </w:p>
    <w:p>
      <w:r>
        <w:t>Distribuição dos colaboradores ativos pelo nível hierárquico (coluna "POSIÇÃO"). A pirâmide é dominada pela base operacional (Analyst + Specialist + Assistant), o que é coerente com uma operação de serviços logísticos.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Cargo / Nível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Ativos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% do total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ANALYST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33.1%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SPECIALIST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70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22.5%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ASSISTANT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14.1%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TEAM LEADER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12.5%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INTERN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HEAD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6.1%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C-LEVEL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1.0%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SR. TEAM LEADER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1.0%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CONSULTANT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1.0%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OWNERSHIP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APPRENTICE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COORDINATOR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0.3%</w:t>
            </w:r>
          </w:p>
        </w:tc>
      </w:tr>
    </w:tbl>
    <w:p>
      <w:r>
        <w:t>Leitura: a base operacional (Analyst/Specialist/Assistant) soma 217 pessoas (70%), enquanto a camada de liderança (Head, C-Level, Team Leaders e Coordenação) soma 67 pessoas (22%). O programa de formação (Intern + Apprentice) representa 24 pessoas.</w:t>
      </w:r>
    </w:p>
    <w:p>
      <w:pPr>
        <w:pStyle w:val="Heading1"/>
      </w:pPr>
      <w:r>
        <w:rPr>
          <w:color w:val="1F3B63"/>
        </w:rPr>
        <w:t>3. Quem Administra — Estrutura por C-Level</w:t>
      </w:r>
    </w:p>
    <w:p>
      <w:r>
        <w:t>Distribuição dos ativos pelos cinco C-Levels. O COO concentra toda a operação core (Air/Ocean/Overland + Qualidade e Excelência Operacional), enquanto CMO lidera as verticais de indústria (Aerospace, Energy, Healthcare, Automotive, etc.).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C-Level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Ativos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HC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Custo mensal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Custo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COO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62.1%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R$ 2.715.846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63.4%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CITO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13.5%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R$ 333.013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7.8%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CFSO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10.6%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R$ 363.576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8.5%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CMO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6.8%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R$ 599.102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14.0%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Co-CEO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6.1%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R$ 227.800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5.3%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Sem C-Level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1.0%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R$ 43.951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1.0%</w:t>
            </w:r>
          </w:p>
        </w:tc>
      </w:tr>
    </w:tbl>
    <w:p>
      <w:pPr>
        <w:pStyle w:val="Heading1"/>
      </w:pPr>
      <w:r>
        <w:rPr>
          <w:color w:val="1F3B63"/>
        </w:rPr>
        <w:t>4. Áreas sob cada C-Level</w:t>
      </w:r>
    </w:p>
    <w:p>
      <w:pPr>
        <w:pStyle w:val="Heading2"/>
      </w:pPr>
      <w:r>
        <w:rPr>
          <w:color w:val="1F3B63"/>
        </w:rPr>
        <w:t>COO — 193 pessoas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Área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Ativos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% do C-Level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AIR OPERATIONS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40.4%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OCEAN OPERATIONS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19.7%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AIR PRODUCT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14.5%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OCEAN PRODUCT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9.8%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QUALITY &amp; OPERATIONAL INTELLIGENCE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6.7%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OVERLAND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4.7%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OPERATIONAL EXCELLENCE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3.6%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OPERATIONS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0.5%</w:t>
            </w:r>
          </w:p>
        </w:tc>
      </w:tr>
    </w:tbl>
    <w:p>
      <w:pPr>
        <w:pStyle w:val="Heading2"/>
      </w:pPr>
      <w:r>
        <w:rPr>
          <w:color w:val="1F3B63"/>
        </w:rPr>
        <w:t>CITO — 42 pessoas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Área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Ativos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% do C-Level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TECHNOLOGY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100.0%</w:t>
            </w:r>
          </w:p>
        </w:tc>
      </w:tr>
    </w:tbl>
    <w:p>
      <w:pPr>
        <w:pStyle w:val="Heading2"/>
      </w:pPr>
      <w:r>
        <w:rPr>
          <w:color w:val="1F3B63"/>
        </w:rPr>
        <w:t>CFSO — 33 pessoas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Área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Ativos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% do C-Level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FINANCIAL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84.8%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STRATEGY &amp; FINANCE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12.1%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REVENUE MANAGEMENT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3.0%</w:t>
            </w:r>
          </w:p>
        </w:tc>
      </w:tr>
    </w:tbl>
    <w:p>
      <w:pPr>
        <w:pStyle w:val="Heading2"/>
      </w:pPr>
      <w:r>
        <w:rPr>
          <w:color w:val="1F3B63"/>
        </w:rPr>
        <w:t>CMO — 21 pessoas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Área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Ativos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% do C-Level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ENERGY INDUSTRY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23.8%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HEALTHCARE INDUSTRY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INDUSTRIES DEVELOPMENT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COLD CHAIN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AEROSPACE INDUSTRY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14.3%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AUTOMOTIVE INDUSTRY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9.5%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OTHER INDUSTRIES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4.8%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AUTOMOTIVE INDUSTRY &amp; INDUSTRIES DEVELOPMENT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4.8%</w:t>
            </w:r>
          </w:p>
        </w:tc>
      </w:tr>
    </w:tbl>
    <w:p>
      <w:pPr>
        <w:pStyle w:val="Heading2"/>
      </w:pPr>
      <w:r>
        <w:rPr>
          <w:color w:val="1F3B63"/>
        </w:rPr>
        <w:t>Co-CEO — 19 pessoas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Área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Ativos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% do C-Level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TALENT MANAGEMENT TEAM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94.7%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SERVICES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5.3%</w:t>
            </w:r>
          </w:p>
        </w:tc>
      </w:tr>
    </w:tbl>
    <w:p>
      <w:pPr>
        <w:pStyle w:val="Heading2"/>
      </w:pPr>
      <w:r>
        <w:rPr>
          <w:color w:val="1F3B63"/>
        </w:rPr>
        <w:t>Sem C-Level — 3 pessoas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Área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Ativos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% do C-Level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OTHER INDUSTRIES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33.3%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EXECUTIVE BOARD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33.3%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OWNERSHIP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33.3%</w:t>
            </w:r>
          </w:p>
        </w:tc>
      </w:tr>
    </w:tbl>
    <w:p>
      <w:pPr>
        <w:pStyle w:val="Heading1"/>
      </w:pPr>
      <w:r>
        <w:rPr>
          <w:color w:val="1F3B63"/>
        </w:rPr>
        <w:t>5. Quem Administra — Heads e seus Times</w:t>
      </w:r>
    </w:p>
    <w:p>
      <w:r>
        <w:t>Mapeamento de cada Head (gestor direto) com o tamanho do seu time, área(s) e C-Level ao qual responde. Observação de qualidade de dados: grafias variantes de "Ana Carol Vasconcellos" foram consolidadas.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Head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C-Level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Time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Custo mensal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Área(s)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CAROL MENDOZA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R$ 1.045.510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AIR OPERATIONS (78)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VICTOR GONZAGA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CITO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R$ 239.104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TECHNOLOGY (38)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NATALIA COSTA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R$ 374.461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OCEAN OPERATIONS (37)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FILIPE SAMPAIO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R$ 359.706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AIR PRODUCT (27)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ROBERTA DUARTE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CFSO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R$ 164.728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FINANCIAL (23)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FILIPE CARNEIRO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R$ 248.446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OCEAN PRODUCT (18)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CAROLINA KARNAKIS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Co-CEO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R$ 172.281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TALENT MANAGEMENT TEAM (17)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MARCO VILLA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R$ 148.521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QUALITY &amp; OPERATIONAL INTELLIGENCE (12)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POSSIDONIO DANTAS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R$ 238.530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OVERLAND (8)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RAIONI SANTOS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COO, CMO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R$ 189.047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OCEAN PRODUCT (1); COLD CHAIN (1); QUALITY &amp; OPERATIONAL INTELLIGENCE (1); OCEAN OPERATIONS (1); OVERLAND (1); OPERATIONAL EXCELLENCE (1); AIR PRODUCT (1)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ANA CAROL VASCONCELLOS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CFSO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R$ 131.589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FINANCIAL (4); STRATEGY &amp; FINANCE (2); REVENUE MANAGEMENT (1)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JOSE LUIZ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Co-CEO, CFSO, CMO, CITO, COO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R$ 237.475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FINANCIAL (1); ENERGY INDUSTRY (1); TALENT MANAGEMENT TEAM (1); TECHNOLOGY (1); OPERATIONS (1); SERVICES (1)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JONATHAS ALVES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R$ 98.934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OPERATIONAL EXCELLENCE (6)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RICARDO JAKOWATZ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CMO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R$ 90.569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INDUSTRIES DEVELOPMENT (3); AUTOMOTIVE INDUSTRY (2)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ANDRE TAVARES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CMO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R$ 268.190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AEROSPACE INDUSTRY (1); OTHER INDUSTRIES (1); AUTOMOTIVE INDUSTRY &amp; INDUSTRIES DEVELOPMENT (1); ENERGY INDUSTRY (1); HEALTHCARE INDUSTRY (1)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YURI TORREAO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CMO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R$ 53.463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ENERGY INDUSTRY (3)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CLEYTON ESTEVES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CITO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R$ 52.779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TECHNOLOGY (3)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JOSE FREITAS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CMO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R$ 36.705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HEALTHCARE INDUSTRY (2)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LUCY MAIA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CMO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R$ 27.789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COLD CHAIN (2)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IVAN CASTRO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CMO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R$ 35.495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AEROSPACE INDUSTRY (2)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DANIEL BRAGA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CFSO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R$ 26.014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STRATEGY &amp; FINANCE (2)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EDUARDO REIS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R$ 30.203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OTHER INDUSTRIES (1)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N/A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R$ 13.748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EXECUTIVE BOARD (1)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SEM HEAD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R$ 0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OWNERSHIP (1)</w:t>
            </w:r>
          </w:p>
        </w:tc>
      </w:tr>
    </w:tbl>
    <w:p>
      <w:pPr>
        <w:pStyle w:val="Heading1"/>
      </w:pPr>
      <w:r>
        <w:rPr>
          <w:color w:val="1F3B63"/>
        </w:rPr>
        <w:t>6. Custo e Headcount por Área</w:t>
      </w:r>
    </w:p>
    <w:p>
      <w:r>
        <w:t>Áreas ordenadas por custo mensal. O custo médio por pessoa evidencia áreas com perfil mais sênior/estratégico (ex.: verticais de indústria e Overland) versus áreas de grande volume e perfil mais júnior (ex.: Technology e Financial).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9"/>
              </w:rPr>
              <w:t>Área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HC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% HC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Custo mensal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% Custo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9"/>
              </w:rPr>
              <w:t>Custo médio/pes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AIR OPERATIONS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78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25.1%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R$ 1.045.510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24.4%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R$ 13.404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OCEAN OPERATIONS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12.2%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R$ 403.254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9.4%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R$ 10.612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AIR PRODUCT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9.0%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R$ 376.075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8.8%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R$ 13.431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TECHNOLOGY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13.5%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R$ 333.013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7.8%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R$ 7.929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OCEAN PRODUCT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6.1%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R$ 277.462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6.5%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R$ 14.603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OVERLAND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2.9%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R$ 265.139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6.2%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R$ 29.460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FINANCIAL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9.0%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R$ 250.289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5.8%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R$ 8.939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TALENT MANAGEMENT TEAM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5.8%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R$ 203.924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4.8%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R$ 11.329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QUALITY &amp; OPERATIONAL INTELLIGENCE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4.2%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R$ 175.664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4.1%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R$ 13.513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HEALTHCARE INDUSTRY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R$ 174.482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4.1%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R$ 58.161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ENERGY INDUSTRY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1.6%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R$ 147.669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3.4%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R$ 29.534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OPERATIONAL EXCELLENCE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2.3%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R$ 125.609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2.9%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R$ 17.944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STRATEGY &amp; FINANCE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R$ 75.689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1.8%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R$ 18.922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AEROSPACE INDUSTRY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R$ 69.774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1.6%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R$ 23.258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COLD CHAIN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R$ 62.230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1.5%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R$ 20.743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OTHER INDUSTRIES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0.6%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R$ 49.062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1.1%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R$ 24.531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OPERATIONS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R$ 47.132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1.1%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R$ 47.132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INDUSTRIES DEVELOPMENT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R$ 46.581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1.1%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R$ 15.527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AUTOMOTIVE INDUSTRY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0.6%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R$ 43.988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R$ 21.994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REVENUE MANAGEMENT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R$ 37.598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0.9%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R$ 37.598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AUTOMOTIVE INDUSTRY &amp; INDUSTRIES DEVELOPMENT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R$ 35.520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0.8%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R$ 35.520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SERVICES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R$ 23.876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0.6%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R$ 23.876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EXECUTIVE BOARD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R$ 13.748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R$ 13.748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9"/>
              </w:rPr>
              <w:t>OWNERSHIP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0.3%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R$ 0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0.0%</w:t>
            </w:r>
          </w:p>
        </w:tc>
        <w:tc>
          <w:tcPr>
            <w:tcW w:type="dxa" w:w="1440"/>
          </w:tcPr>
          <w:p>
            <w:r/>
            <w:r>
              <w:rPr>
                <w:sz w:val="19"/>
              </w:rPr>
              <w:t>R$ 0</w:t>
            </w:r>
          </w:p>
        </w:tc>
      </w:tr>
    </w:tbl>
    <w:p>
      <w:pPr>
        <w:pStyle w:val="Heading1"/>
      </w:pPr>
      <w:r>
        <w:rPr>
          <w:color w:val="1F3B63"/>
        </w:rPr>
        <w:t>7. Insights — Proporção entre Setores e Áreas Defasadas</w:t>
      </w:r>
    </w:p>
    <w:p>
      <w:pPr>
        <w:pStyle w:val="Heading2"/>
      </w:pPr>
      <w:r>
        <w:rPr>
          <w:color w:val="1F3B63"/>
        </w:rPr>
        <w:t>7.1 Concentração operacional</w:t>
      </w:r>
    </w:p>
    <w:p>
      <w:pPr>
        <w:pStyle w:val="ListBullet"/>
      </w:pPr>
      <w:r>
        <w:t>O COO responde por 193 dos 311 ativos (62%) e por 63% do custo. Dentro dele, Air Operations isoladamente tem 78 pessoas (25% do total da empresa) e R$ 1.045.510 de custo mensal — é o maior centro de custo e de pessoas da DMS. Há dependência estrutural de uma única frente (Air), o que concentra risco operacional e de gestão.</w:t>
      </w:r>
    </w:p>
    <w:p>
      <w:pPr>
        <w:pStyle w:val="Heading2"/>
      </w:pPr>
      <w:r>
        <w:rPr>
          <w:color w:val="1F3B63"/>
        </w:rPr>
        <w:t>7.2 Proporção Operação (core) vs. Produto vs. Indústrias (go-to-market)</w:t>
      </w:r>
    </w:p>
    <w:p>
      <w:pPr>
        <w:pStyle w:val="ListBullet"/>
      </w:pPr>
      <w:r>
        <w:t>Operação core (Air+Ocean+Overland): 125 pessoas (40%). Produto (Air+Ocean Product): 47 pessoas (15%). Verticais de indústria/comercial (CMO): 21 pessoas (7%). Suporte (Tech+Financeiro+Talentos): 94 pessoas (30%).</w:t>
      </w:r>
    </w:p>
    <w:p>
      <w:pPr>
        <w:pStyle w:val="ListBullet"/>
      </w:pPr>
      <w:r>
        <w:t>A relação Produto/Operação é de ~1 para 2.7 pessoas de operação, indicando que o motor é a entrega operacional e que Produto atua enxuto.</w:t>
      </w:r>
    </w:p>
    <w:p>
      <w:pPr>
        <w:pStyle w:val="Heading2"/>
      </w:pPr>
      <w:r>
        <w:rPr>
          <w:color w:val="1F3B63"/>
        </w:rPr>
        <w:t>7.3 Áreas mais defasadas (sub-dimensionadas)</w:t>
      </w:r>
    </w:p>
    <w:p>
      <w:r>
        <w:t>As verticais de indústria, estratégicas para o crescimento comercial, estão com equipes muito reduzidas e com forte peso de liderança (quase sem base para executar). Isso sugere áreas "montadas no topo", dependentes de poucos indivíduos: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9"/>
              </w:rPr>
              <w:t>Área sub-dimensionada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HC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Liderança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Base/Jr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9"/>
              </w:rPr>
              <w:t>% Liderança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AEROSPACE INDUSTRY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HEALTHCARE INDUSTRY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ENERGY INDUSTRY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60%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AUTOMOTIVE INDUSTRY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50%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COLD CHAIN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INDUSTRIES DEVELOPMENT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33%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STRATEGY &amp; FINANCE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25%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OPERATIONAL EXCELLENCE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14%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9"/>
              </w:rPr>
              <w:t>REVENUE MANAGEMENT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sz w:val="19"/>
              </w:rPr>
              <w:t>100%</w:t>
            </w:r>
          </w:p>
        </w:tc>
      </w:tr>
    </w:tbl>
    <w:p>
      <w:r>
        <w:t>Padrão observado: em várias verticais de indústria a liderança representa 30–100% do time, ou seja, há Head/Specialist mas pouca ou nenhuma camada de execução júnior — sinal clássico de área nascente ou defasada em capacidade de entrega.</w:t>
      </w:r>
    </w:p>
    <w:p>
      <w:pPr>
        <w:pStyle w:val="Heading2"/>
      </w:pPr>
      <w:r>
        <w:rPr>
          <w:color w:val="1F3B63"/>
        </w:rPr>
        <w:t>7.4 Risco de span of control e dados</w:t>
      </w:r>
    </w:p>
    <w:p>
      <w:pPr>
        <w:pStyle w:val="ListBullet"/>
      </w:pPr>
      <w:r>
        <w:t>Carol Mendoza (Air Operations) gere sozinha 78 pessoas — span muito acima do saudável, sugerindo necessidade de uma camada intermediária de coordenação.</w:t>
      </w:r>
    </w:p>
    <w:p>
      <w:pPr>
        <w:pStyle w:val="ListBullet"/>
      </w:pPr>
      <w:r>
        <w:t>Alguns Heads (ex.: Jose Luiz, Raioni Santos) aparecem espalhados por múltiplas áreas e C-Levels, o que pode indicar acúmulo de função interina ou inconsistência de preenchimento da base.</w:t>
      </w:r>
    </w:p>
    <w:p>
      <w:pPr>
        <w:pStyle w:val="ListBullet"/>
      </w:pPr>
      <w:r>
        <w:t>Qualidade de dados: há variações de grafia para o mesmo Head e registros com HEAD/C-LEVEL em branco ou "N/A", que devem ser padronizados para análises futuras.</w:t>
      </w:r>
    </w:p>
    <w:p>
      <w:pPr>
        <w:pStyle w:val="Heading1"/>
      </w:pPr>
      <w:r>
        <w:rPr>
          <w:color w:val="1F3B63"/>
        </w:rPr>
        <w:t>8. Notas Metodológicas</w:t>
      </w:r>
    </w:p>
    <w:p>
      <w:pPr>
        <w:pStyle w:val="ListBullet"/>
      </w:pPr>
      <w:r>
        <w:t>• Considerados apenas colaboradores ATIVOS (311 de 323 registros).</w:t>
      </w:r>
    </w:p>
    <w:p>
      <w:pPr>
        <w:pStyle w:val="ListBullet"/>
      </w:pPr>
      <w:r>
        <w:t>• Custo = coluna "TOTAL R$" (salário + encargos + benefícios + outros + incentivo).</w:t>
      </w:r>
    </w:p>
    <w:p>
      <w:pPr>
        <w:pStyle w:val="ListBullet"/>
      </w:pPr>
      <w:r>
        <w:t>• "Defasada/sub-dimensionada" = área com baixo headcount e alta proporção de liderança sem base de execução.</w:t>
      </w:r>
    </w:p>
    <w:p>
      <w:pPr>
        <w:pStyle w:val="ListBullet"/>
      </w:pPr>
      <w:r>
        <w:t>• Variações de grafia de Heads foram consolidadas apenas para o caso "Ana Carol Vasconcellos".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