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12</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bookmarkEnd w:id="30"/>
    <w:bookmarkStart w:id="31" w:name="results"/>
    <w:p>
      <w:pPr>
        <w:pStyle w:val="Heading2"/>
      </w:pPr>
      <w:r>
        <w:t xml:space="preserve">Results</w:t>
      </w:r>
    </w:p>
    <w:p>
      <w:pPr>
        <w:pStyle w:val="FirstParagraph"/>
      </w:pPr>
      <w:r>
        <w:t xml:space="preserve">We observed pupillary responses during the glare illusion or halo stimuli presented at one out of five VF locations (i.e., upper, lower, left, right, and center) as shown in Fig.2A. As reported previously [22,46–48], we confirmed that averaged pupillary response was significantly constricted by the glare illusion in the center condition</w:t>
      </w:r>
      <w:r>
        <w:t xml:space="preserve"> </w:t>
      </w:r>
      <w:r>
        <w:t xml:space="preserve">(</w:t>
      </w:r>
      <m:oMath>
        <m:r>
          <m:t>t</m:t>
        </m:r>
      </m:oMath>
      <w:r>
        <w:t xml:space="preserve">(18) =</w:t>
      </w:r>
      <w:r>
        <w:t xml:space="preserve"> </w:t>
      </w:r>
      <w:r>
        <w:t xml:space="preserve">-3.07,</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0.388,</w:t>
      </w:r>
      <w:r>
        <w:t xml:space="preserve"> </w:t>
      </w:r>
      <m:oMath>
        <m:r>
          <m:t>B</m:t>
        </m:r>
        <m:sSub>
          <m:e>
            <m:r>
              <m:t>F</m:t>
            </m:r>
          </m:e>
          <m:sub>
            <m:r>
              <m:t>10</m:t>
            </m:r>
          </m:sub>
        </m:sSub>
      </m:oMath>
      <w:r>
        <w:t xml:space="preserve"> </w:t>
      </w:r>
      <w:r>
        <w:t xml:space="preserve">= 7.36)</w:t>
      </w:r>
    </w:p>
    <w:p>
      <w:pPr>
        <w:pStyle w:val="BodyText"/>
      </w:pPr>
      <w:r>
        <w:t xml:space="preserve">We first determined the MPCL (mean = 0.731s, S.D. = 0.361s) to calculate the early and late components of pupillary response (see Method and Supplementary Fig. 1). In the early component for the periphery condition</w:t>
      </w:r>
      <w:r>
        <w:t xml:space="preserve"> </w:t>
      </w:r>
      <w:r>
        <w:rPr>
          <w:bCs/>
          <w:b/>
        </w:rPr>
        <w:t xml:space="preserve">(Fig. 3B)</w:t>
      </w:r>
      <w:r>
        <w:t xml:space="preserve">, the two-way repeated measures ANOVA revealed a significant main effect on the pattern and VF locations</w:t>
      </w:r>
      <w:r>
        <w:t xml:space="preserve"> </w:t>
      </w:r>
      <w:r>
        <w:t xml:space="preserve">(</w:t>
      </w:r>
      <m:oMath>
        <m:r>
          <m:t>F</m:t>
        </m:r>
      </m:oMath>
      <w:r>
        <w:t xml:space="preserve">(1,</w:t>
      </w:r>
      <w:r>
        <w:t xml:space="preserve"> </w:t>
      </w:r>
      <w:r>
        <w:t xml:space="preserve">18) =</w:t>
      </w:r>
      <w:r>
        <w:t xml:space="preserve"> </w:t>
      </w:r>
      <w:r>
        <w:t xml:space="preserve">8.134,</w:t>
      </w:r>
      <w:r>
        <w:t xml:space="preserve"> </w:t>
      </w:r>
      <w:r>
        <w:t xml:space="preserve">p = 0.011,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5.855,</w:t>
      </w:r>
      <w:r>
        <w:t xml:space="preserve"> </w:t>
      </w:r>
      <m:oMath>
        <m:r>
          <m:t>F</m:t>
        </m:r>
      </m:oMath>
      <w:r>
        <w:t xml:space="preserve">(2.89,</w:t>
      </w:r>
      <w:r>
        <w:t xml:space="preserve"> </w:t>
      </w:r>
      <w:r>
        <w:t xml:space="preserve">52.023) =</w:t>
      </w:r>
      <w:r>
        <w:t xml:space="preserve"> </w:t>
      </w:r>
      <w:r>
        <w:t xml:space="preserve">4.356,</w:t>
      </w:r>
      <w:r>
        <w:t xml:space="preserve"> </w:t>
      </w:r>
      <w:r>
        <w:t xml:space="preserve">p = 0.009,</w:t>
      </w:r>
      <w:r>
        <w:t xml:space="preserve"> </w:t>
      </w:r>
      <m:oMath>
        <m:sSubSup>
          <m:e>
            <m:r>
              <m:t>η</m:t>
            </m:r>
          </m:e>
          <m:sub>
            <m:r>
              <m:t>p</m:t>
            </m:r>
          </m:sub>
          <m:sup>
            <m:r>
              <m:t>2</m:t>
            </m:r>
          </m:sup>
        </m:sSubSup>
      </m:oMath>
      <w:r>
        <w:t xml:space="preserve"> </w:t>
      </w:r>
      <w:r>
        <w:t xml:space="preserve">= 0.195,</w:t>
      </w:r>
      <w:r>
        <w:t xml:space="preserve"> </w:t>
      </w:r>
      <m:oMath>
        <m:r>
          <m:t>B</m:t>
        </m:r>
        <m:sSub>
          <m:e>
            <m:r>
              <m:t>F</m:t>
            </m:r>
          </m:e>
          <m:sub>
            <m:r>
              <m:t>10</m:t>
            </m:r>
          </m:sub>
        </m:sSub>
      </m:oMath>
      <w:r>
        <w:t xml:space="preserve"> </w:t>
      </w:r>
      <w:r>
        <w:t xml:space="preserve">= 2.833).</w:t>
      </w:r>
      <w:r>
        <w:t xml:space="preserve"> </w:t>
      </w:r>
      <w:r>
        <w:t xml:space="preserve">However, the post-hoc multiple comparisons for the VF locations showed that any pair of VF location did not reach the significance level (p &gt; 0.05). In addition, there was no significant interaction between the pattern and VF locations</w:t>
      </w:r>
      <w:r>
        <w:t xml:space="preserve"> </w:t>
      </w:r>
      <w:r>
        <w:t xml:space="preserve">(</w:t>
      </w:r>
      <m:oMath>
        <m:r>
          <m:t>F</m:t>
        </m:r>
      </m:oMath>
      <w:r>
        <w:t xml:space="preserve">(2.663,</w:t>
      </w:r>
      <w:r>
        <w:t xml:space="preserve"> </w:t>
      </w:r>
      <w:r>
        <w:t xml:space="preserve">47.936) =</w:t>
      </w:r>
      <w:r>
        <w:t xml:space="preserve"> </w:t>
      </w:r>
      <w:r>
        <w:t xml:space="preserve">1.066,</w:t>
      </w:r>
      <w:r>
        <w:t xml:space="preserve"> </w:t>
      </w:r>
      <w:r>
        <w:t xml:space="preserve">p = 0.367,</w:t>
      </w:r>
      <w:r>
        <w:t xml:space="preserve"> </w:t>
      </w:r>
      <m:oMath>
        <m:sSubSup>
          <m:e>
            <m:r>
              <m:t>η</m:t>
            </m:r>
          </m:e>
          <m:sub>
            <m:r>
              <m:t>p</m:t>
            </m:r>
          </m:sub>
          <m:sup>
            <m:r>
              <m:t>2</m:t>
            </m:r>
          </m:sup>
        </m:sSubSup>
      </m:oMath>
      <w:r>
        <w:t xml:space="preserve"> </w:t>
      </w:r>
      <w:r>
        <w:t xml:space="preserve">= 0.056,</w:t>
      </w:r>
      <w:r>
        <w:t xml:space="preserve"> </w:t>
      </w:r>
      <m:oMath>
        <m:r>
          <m:t>B</m:t>
        </m:r>
        <m:sSub>
          <m:e>
            <m:r>
              <m:t>F</m:t>
            </m:r>
          </m:e>
          <m:sub>
            <m:r>
              <m:t>10</m:t>
            </m:r>
          </m:sub>
        </m:sSub>
      </m:oMath>
      <w:r>
        <w:t xml:space="preserve"> </w:t>
      </w:r>
      <w:r>
        <w:t xml:space="preserve">= 0.23).</w:t>
      </w:r>
      <w:r>
        <w:t xml:space="preserve"> </w:t>
      </w:r>
      <w:r>
        <w:t xml:space="preserve">For the center condition, there is significant differences of averaged pupil response between glare and halo stimulus</w:t>
      </w:r>
      <w:r>
        <w:t xml:space="preserve"> </w:t>
      </w:r>
      <w:r>
        <w:t xml:space="preserve">(</w:t>
      </w:r>
      <m:oMath>
        <m:r>
          <m:t>t</m:t>
        </m:r>
      </m:oMath>
      <w:r>
        <w:t xml:space="preserve">(18) =</w:t>
      </w:r>
      <w:r>
        <w:t xml:space="preserve"> </w:t>
      </w:r>
      <w:r>
        <w:t xml:space="preserve">-2.425,</w:t>
      </w:r>
      <w:r>
        <w:t xml:space="preserve"> </w:t>
      </w:r>
      <m:oMath>
        <m:r>
          <m:t>p</m:t>
        </m:r>
      </m:oMath>
      <w:r>
        <w:t xml:space="preserve"> </w:t>
      </w:r>
      <w:r>
        <w:t xml:space="preserve">= 0.026,</w:t>
      </w:r>
      <w:r>
        <w:t xml:space="preserve"> </w:t>
      </w:r>
      <w:r>
        <w:t xml:space="preserve">Cohen’s</w:t>
      </w:r>
      <w:r>
        <w:t xml:space="preserve"> </w:t>
      </w:r>
      <m:oMath>
        <m:sSub>
          <m:e>
            <m:r>
              <m:t>d</m:t>
            </m:r>
          </m:e>
          <m:sub>
            <m:r>
              <m:t>z</m:t>
            </m:r>
          </m:sub>
        </m:sSub>
      </m:oMath>
      <w:r>
        <w:t xml:space="preserve"> </w:t>
      </w:r>
      <w:r>
        <w:t xml:space="preserve">= 0.379,</w:t>
      </w:r>
      <w:r>
        <w:t xml:space="preserve"> </w:t>
      </w:r>
      <m:oMath>
        <m:r>
          <m:t>B</m:t>
        </m:r>
        <m:sSub>
          <m:e>
            <m:r>
              <m:t>F</m:t>
            </m:r>
          </m:e>
          <m:sub>
            <m:r>
              <m:t>10</m:t>
            </m:r>
          </m:sub>
        </m:sSub>
      </m:oMath>
      <w:r>
        <w:t xml:space="preserve"> </w:t>
      </w:r>
      <w:r>
        <w:t xml:space="preserve">= 2.372)</w:t>
      </w:r>
      <w:r>
        <w:t xml:space="preserve"> </w:t>
      </w:r>
      <w:r>
        <w:t xml:space="preserve">In the late component (the AUC) for the periphery condition, the two-way repeated measures ANOVA revealed a significant main effect on the VF location and interaction</w:t>
      </w:r>
      <w:r>
        <w:t xml:space="preserve"> </w:t>
      </w:r>
      <w:r>
        <w:t xml:space="preserve">(</w:t>
      </w:r>
      <m:oMath>
        <m:r>
          <m:t>F</m:t>
        </m:r>
      </m:oMath>
      <w:r>
        <w:t xml:space="preserve">(2.128,</w:t>
      </w:r>
      <w:r>
        <w:t xml:space="preserve"> </w:t>
      </w:r>
      <w:r>
        <w:t xml:space="preserve">38.303) =</w:t>
      </w:r>
      <w:r>
        <w:t xml:space="preserve"> </w:t>
      </w:r>
      <w:r>
        <w:t xml:space="preserve">6.436,</w:t>
      </w:r>
      <w:r>
        <w:t xml:space="preserve"> </w:t>
      </w:r>
      <w:r>
        <w:t xml:space="preserve">p = 0.003,</w:t>
      </w:r>
      <w:r>
        <w:t xml:space="preserve"> </w:t>
      </w:r>
      <m:oMath>
        <m:sSubSup>
          <m:e>
            <m:r>
              <m:t>η</m:t>
            </m:r>
          </m:e>
          <m:sub>
            <m:r>
              <m:t>p</m:t>
            </m:r>
          </m:sub>
          <m:sup>
            <m:r>
              <m:t>2</m:t>
            </m:r>
          </m:sup>
        </m:sSubSup>
      </m:oMath>
      <w:r>
        <w:t xml:space="preserve"> </w:t>
      </w:r>
      <w:r>
        <w:t xml:space="preserve">= 0.263,</w:t>
      </w:r>
      <w:r>
        <w:t xml:space="preserve"> </w:t>
      </w:r>
      <m:oMath>
        <m:r>
          <m:t>B</m:t>
        </m:r>
        <m:sSub>
          <m:e>
            <m:r>
              <m:t>F</m:t>
            </m:r>
          </m:e>
          <m:sub>
            <m:r>
              <m:t>10</m:t>
            </m:r>
          </m:sub>
        </m:sSub>
      </m:oMath>
      <w:r>
        <w:t xml:space="preserve"> </w:t>
      </w:r>
      <w:r>
        <w:t xml:space="preserve">= 77.097;</w:t>
      </w:r>
      <w:r>
        <w:t xml:space="preserve"> </w:t>
      </w:r>
      <m:oMath>
        <m:r>
          <m:t>F</m:t>
        </m:r>
      </m:oMath>
      <w:r>
        <w:t xml:space="preserve">(2.983,</w:t>
      </w:r>
      <w:r>
        <w:t xml:space="preserve"> </w:t>
      </w:r>
      <w:r>
        <w:t xml:space="preserve">53.691) =</w:t>
      </w:r>
      <w:r>
        <w:t xml:space="preserve"> </w:t>
      </w:r>
      <w:r>
        <w:t xml:space="preserve">2.883,</w:t>
      </w:r>
      <w:r>
        <w:t xml:space="preserve"> </w:t>
      </w:r>
      <w:r>
        <w:t xml:space="preserve">p = 0.044,</w:t>
      </w:r>
      <w:r>
        <w:t xml:space="preserve"> </w:t>
      </w:r>
      <m:oMath>
        <m:sSubSup>
          <m:e>
            <m:r>
              <m:t>η</m:t>
            </m:r>
          </m:e>
          <m:sub>
            <m:r>
              <m:t>p</m:t>
            </m:r>
          </m:sub>
          <m:sup>
            <m:r>
              <m:t>2</m:t>
            </m:r>
          </m:sup>
        </m:sSubSup>
      </m:oMath>
      <w:r>
        <w:t xml:space="preserve"> </w:t>
      </w:r>
      <w:r>
        <w:t xml:space="preserve">= 0.138,</w:t>
      </w:r>
      <w:r>
        <w:t xml:space="preserve"> </w:t>
      </w:r>
      <m:oMath>
        <m:r>
          <m:t>B</m:t>
        </m:r>
        <m:sSub>
          <m:e>
            <m:r>
              <m:t>F</m:t>
            </m:r>
          </m:e>
          <m:sub>
            <m:r>
              <m:t>10</m:t>
            </m:r>
          </m:sub>
        </m:sSub>
      </m:oMath>
      <w:r>
        <w:t xml:space="preserve"> </w:t>
      </w:r>
      <w:r>
        <w:t xml:space="preserve">= 1.426).</w:t>
      </w:r>
      <w:r>
        <w:t xml:space="preserve"> </w:t>
      </w:r>
      <w:r>
        <w:t xml:space="preserve">The post-hoc multiple comparisons for the VFs showed that the UVF produces larger pupil dilation than the left and lower VFs</w:t>
      </w:r>
      <w:r>
        <w:t xml:space="preserve"> </w:t>
      </w:r>
      <w:r>
        <w:t xml:space="preserve">(</w:t>
      </w:r>
      <m:oMath>
        <m:r>
          <m:t>t</m:t>
        </m:r>
      </m:oMath>
      <w:r>
        <w:t xml:space="preserve">(18) =</w:t>
      </w:r>
      <w:r>
        <w:t xml:space="preserve"> </w:t>
      </w:r>
      <w:r>
        <w:t xml:space="preserve">4.091,</w:t>
      </w:r>
      <w:r>
        <w:t xml:space="preserve"> </w:t>
      </w:r>
      <m:oMath>
        <m:r>
          <m:t>p</m:t>
        </m:r>
      </m:oMath>
      <w:r>
        <w:t xml:space="preserve"> </w:t>
      </w:r>
      <w:r>
        <w:t xml:space="preserve">= 0.004 for upper vs. left;</w:t>
      </w:r>
      <w:r>
        <w:t xml:space="preserve"> </w:t>
      </w:r>
      <m:oMath>
        <m:r>
          <m:t>t</m:t>
        </m:r>
      </m:oMath>
      <w:r>
        <w:t xml:space="preserve">(18) =</w:t>
      </w:r>
      <w:r>
        <w:t xml:space="preserve"> </w:t>
      </w:r>
      <w:r>
        <w:t xml:space="preserve">2.806,</w:t>
      </w:r>
      <w:r>
        <w:t xml:space="preserve"> </w:t>
      </w:r>
      <m:oMath>
        <m:r>
          <m:t>p</m:t>
        </m:r>
      </m:oMath>
      <w:r>
        <w:t xml:space="preserve"> </w:t>
      </w:r>
      <w:r>
        <w:t xml:space="preserve">= 0.035 for upper vs. lower;</w:t>
      </w:r>
      <w:r>
        <w:t xml:space="preserve"> </w:t>
      </w:r>
      <m:oMath>
        <m:r>
          <m:t>t</m:t>
        </m:r>
      </m:oMath>
      <w:r>
        <w:t xml:space="preserve">(18) =</w:t>
      </w:r>
      <w:r>
        <w:t xml:space="preserve"> </w:t>
      </w:r>
      <w:r>
        <w:t xml:space="preserve">1.825,</w:t>
      </w:r>
      <w:r>
        <w:t xml:space="preserve"> </w:t>
      </w:r>
      <m:oMath>
        <m:r>
          <m:t>p</m:t>
        </m:r>
      </m:oMath>
      <w:r>
        <w:t xml:space="preserve"> </w:t>
      </w:r>
      <w:r>
        <w:t xml:space="preserve">= 0.254 for upper vs. right</w:t>
      </w:r>
      <w:r>
        <w:t xml:space="preserve"> </w:t>
      </w:r>
      <w:r>
        <w:t xml:space="preserve">)</w:t>
      </w:r>
      <w:r>
        <w:t xml:space="preserve"> </w:t>
      </w:r>
      <w:r>
        <w:t xml:space="preserve">in line with the previous studies</w:t>
      </w:r>
      <w:r>
        <w:t xml:space="preserve"> </w:t>
      </w:r>
      <w:r>
        <w:rPr>
          <w:bCs/>
          <w:b/>
        </w:rPr>
        <w:t xml:space="preserve">[13,15,17,18]</w:t>
      </w:r>
      <w:r>
        <w:t xml:space="preserve">.</w:t>
      </w:r>
      <w:r>
        <w:t xml:space="preserve"> </w:t>
      </w:r>
      <w:r>
        <w:t xml:space="preserve">Importantly, the post-hoc multiple comparisons for the interaction showed that the significant differences in pupil response between the glare and halo stimuli in the UVF</w:t>
      </w:r>
      <w:r>
        <w:t xml:space="preserve"> </w:t>
      </w:r>
      <w:r>
        <w:t xml:space="preserve">(</w:t>
      </w:r>
      <m:oMath>
        <m:r>
          <m:t>t</m:t>
        </m:r>
      </m:oMath>
      <w:r>
        <w:t xml:space="preserve">(18) =</w:t>
      </w:r>
      <w:r>
        <w:t xml:space="preserve"> </w:t>
      </w:r>
      <w:r>
        <w:t xml:space="preserve">6.847,</w:t>
      </w:r>
      <w:r>
        <w:t xml:space="preserve"> </w:t>
      </w:r>
      <m:oMath>
        <m:r>
          <m:t>p</m:t>
        </m:r>
      </m:oMath>
      <w:r>
        <w:t xml:space="preserve"> </w:t>
      </w:r>
      <w:r>
        <w:t xml:space="preserve">= 0.017,</w:t>
      </w:r>
      <w:r>
        <w:t xml:space="preserve"> </w:t>
      </w:r>
      <m:oMath>
        <m:sSubSup>
          <m:e>
            <m:r>
              <m:t>η</m:t>
            </m:r>
          </m:e>
          <m:sub>
            <m:r>
              <m:t>p</m:t>
            </m:r>
          </m:sub>
          <m:sup>
            <m:r>
              <m:t>2</m:t>
            </m:r>
          </m:sup>
        </m:sSubSup>
      </m:oMath>
      <w:r>
        <w:t xml:space="preserve"> </w:t>
      </w:r>
      <w:r>
        <w:t xml:space="preserve">= 0.276,</w:t>
      </w:r>
      <w:r>
        <w:t xml:space="preserve"> </w:t>
      </w:r>
      <m:oMath>
        <m:r>
          <m:t>B</m:t>
        </m:r>
        <m:sSub>
          <m:e>
            <m:r>
              <m:t>F</m:t>
            </m:r>
          </m:e>
          <m:sub>
            <m:r>
              <m:t>10</m:t>
            </m:r>
          </m:sub>
        </m:sSub>
      </m:oMath>
      <w:r>
        <w:t xml:space="preserve"> </w:t>
      </w:r>
      <w:r>
        <w:t xml:space="preserve">= 3.283)</w:t>
      </w:r>
      <w:r>
        <w:t xml:space="preserve"> </w:t>
      </w:r>
      <w:r>
        <w:t xml:space="preserve">but not other VFs</w:t>
      </w:r>
      <w:r>
        <w:t xml:space="preserve"> </w:t>
      </w:r>
      <w:r>
        <w:t xml:space="preserve">(</w:t>
      </w:r>
      <m:oMath>
        <m:r>
          <m:t>t</m:t>
        </m:r>
      </m:oMath>
      <w:r>
        <w:t xml:space="preserve">(18) =</w:t>
      </w:r>
      <w:r>
        <w:t xml:space="preserve"> </w:t>
      </w:r>
      <w:r>
        <w:t xml:space="preserve">0.13,</w:t>
      </w:r>
      <w:r>
        <w:t xml:space="preserve"> </w:t>
      </w:r>
      <m:oMath>
        <m:r>
          <m:t>p</m:t>
        </m:r>
      </m:oMath>
      <w:r>
        <w:t xml:space="preserve"> </w:t>
      </w:r>
      <w:r>
        <w:t xml:space="preserve">= 0.723,</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0.252 for Lower;</w:t>
      </w:r>
      <w:r>
        <w:t xml:space="preserve"> </w:t>
      </w:r>
      <m:oMath>
        <m:r>
          <m:t>t</m:t>
        </m:r>
      </m:oMath>
      <w:r>
        <w:t xml:space="preserve">(18) =</w:t>
      </w:r>
      <w:r>
        <w:t xml:space="preserve"> </w:t>
      </w:r>
      <w:r>
        <w:t xml:space="preserve">0.466,</w:t>
      </w:r>
      <w:r>
        <w:t xml:space="preserve"> </w:t>
      </w:r>
      <m:oMath>
        <m:r>
          <m:t>p</m:t>
        </m:r>
      </m:oMath>
      <w:r>
        <w:t xml:space="preserve"> </w:t>
      </w:r>
      <w:r>
        <w:t xml:space="preserve">= 0.503,</w:t>
      </w:r>
      <w:r>
        <w:t xml:space="preserve"> </w:t>
      </w:r>
      <m:oMath>
        <m:sSubSup>
          <m:e>
            <m:r>
              <m:t>η</m:t>
            </m:r>
          </m:e>
          <m:sub>
            <m:r>
              <m:t>p</m:t>
            </m:r>
          </m:sub>
          <m:sup>
            <m:r>
              <m:t>2</m:t>
            </m:r>
          </m:sup>
        </m:sSubSup>
      </m:oMath>
      <w:r>
        <w:t xml:space="preserve"> </w:t>
      </w:r>
      <w:r>
        <w:t xml:space="preserve">= 0.025</w:t>
      </w:r>
      <w:r>
        <w:t xml:space="preserve"> </w:t>
      </w:r>
      <m:oMath>
        <m:r>
          <m:t>B</m:t>
        </m:r>
        <m:sSub>
          <m:e>
            <m:r>
              <m:t>F</m:t>
            </m:r>
          </m:e>
          <m:sub>
            <m:r>
              <m:t>10</m:t>
            </m:r>
          </m:sub>
        </m:sSub>
      </m:oMath>
      <w:r>
        <w:t xml:space="preserve"> </w:t>
      </w:r>
      <w:r>
        <w:t xml:space="preserve">= 0.292 for Left;</w:t>
      </w:r>
      <w:r>
        <w:t xml:space="preserve"> </w:t>
      </w:r>
      <m:oMath>
        <m:r>
          <m:t>t</m:t>
        </m:r>
      </m:oMath>
      <w:r>
        <w:t xml:space="preserve">(18) =</w:t>
      </w:r>
      <w:r>
        <w:t xml:space="preserve"> </w:t>
      </w:r>
      <w:r>
        <w:t xml:space="preserve">0.798,</w:t>
      </w:r>
      <w:r>
        <w:t xml:space="preserve"> </w:t>
      </w:r>
      <m:oMath>
        <m:r>
          <m:t>p</m:t>
        </m:r>
      </m:oMath>
      <w:r>
        <w:t xml:space="preserve"> </w:t>
      </w:r>
      <w:r>
        <w:t xml:space="preserve">= 0.384,</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0.338 for Right).</w:t>
      </w:r>
      <w:r>
        <w:t xml:space="preserve"> </w:t>
      </w:r>
      <w:r>
        <w:t xml:space="preserve">The post-hoc multiple comparisons for the VF location for the halo stimulus showed that the UVF in the halo stimulus produces larger pupil dilation than the left, right and lower VFs</w:t>
      </w:r>
      <w:r>
        <w:t xml:space="preserve"> </w:t>
      </w:r>
      <w:r>
        <w:t xml:space="preserve">(</w:t>
      </w:r>
      <m:oMath>
        <m:r>
          <m:t>t</m:t>
        </m:r>
      </m:oMath>
      <w:r>
        <w:t xml:space="preserve">(18) =</w:t>
      </w:r>
      <w:r>
        <w:t xml:space="preserve"> </w:t>
      </w:r>
      <w:r>
        <w:t xml:space="preserve">4.07,</w:t>
      </w:r>
      <w:r>
        <w:t xml:space="preserve"> </w:t>
      </w:r>
      <m:oMath>
        <m:r>
          <m:t>p</m:t>
        </m:r>
      </m:oMath>
      <w:r>
        <w:t xml:space="preserve"> </w:t>
      </w:r>
      <w:r>
        <w:t xml:space="preserve">= 0.004 for upper vs. left;</w:t>
      </w:r>
      <w:r>
        <w:t xml:space="preserve"> </w:t>
      </w:r>
      <m:oMath>
        <m:r>
          <m:t>t</m:t>
        </m:r>
      </m:oMath>
      <w:r>
        <w:t xml:space="preserve">(18) =</w:t>
      </w:r>
      <w:r>
        <w:t xml:space="preserve"> </w:t>
      </w:r>
      <w:r>
        <w:t xml:space="preserve">3.697,</w:t>
      </w:r>
      <w:r>
        <w:t xml:space="preserve"> </w:t>
      </w:r>
      <m:oMath>
        <m:r>
          <m:t>p</m:t>
        </m:r>
      </m:oMath>
      <w:r>
        <w:t xml:space="preserve"> </w:t>
      </w:r>
      <w:r>
        <w:t xml:space="preserve">= 0.005 for upper vs. right;</w:t>
      </w:r>
      <w:r>
        <w:t xml:space="preserve"> </w:t>
      </w:r>
      <m:oMath>
        <m:r>
          <m:t>t</m:t>
        </m:r>
      </m:oMath>
      <w:r>
        <w:t xml:space="preserve">(18) =</w:t>
      </w:r>
      <w:r>
        <w:t xml:space="preserve"> </w:t>
      </w:r>
      <w:r>
        <w:t xml:space="preserve">3.388,</w:t>
      </w:r>
      <w:r>
        <w:t xml:space="preserve"> </w:t>
      </w:r>
      <m:oMath>
        <m:r>
          <m:t>p</m:t>
        </m:r>
      </m:oMath>
      <w:r>
        <w:t xml:space="preserve"> </w:t>
      </w:r>
      <w:r>
        <w:t xml:space="preserve">= 0.01 for upper vs. lower;)</w:t>
      </w:r>
    </w:p>
    <w:p>
      <w:pPr>
        <w:pStyle w:val="BodyText"/>
      </w:pPr>
      <w:r>
        <w:t xml:space="preserve">For the Center condition, the AUC was significantly reduced by the glare illusion</w:t>
      </w:r>
      <w:r>
        <w:t xml:space="preserve"> </w:t>
      </w:r>
      <w:r>
        <w:t xml:space="preserve">(</w:t>
      </w:r>
      <m:oMath>
        <m:r>
          <m:t>t</m:t>
        </m:r>
      </m:oMath>
      <w:r>
        <w:t xml:space="preserve">(18) =</w:t>
      </w:r>
      <w:r>
        <w:t xml:space="preserve"> </w:t>
      </w:r>
      <w:r>
        <w:t xml:space="preserve">-2.344,</w:t>
      </w:r>
      <w:r>
        <w:t xml:space="preserve"> </w:t>
      </w:r>
      <m:oMath>
        <m:r>
          <m:t>p</m:t>
        </m:r>
      </m:oMath>
      <w:r>
        <w:t xml:space="preserve"> </w:t>
      </w:r>
      <w:r>
        <w:t xml:space="preserve">= 0.031,</w:t>
      </w:r>
      <w:r>
        <w:t xml:space="preserve"> </w:t>
      </w:r>
      <w:r>
        <w:t xml:space="preserve">Cohen’s</w:t>
      </w:r>
      <w:r>
        <w:t xml:space="preserve"> </w:t>
      </w:r>
      <m:oMath>
        <m:sSub>
          <m:e>
            <m:r>
              <m:t>d</m:t>
            </m:r>
          </m:e>
          <m:sub>
            <m:r>
              <m:t>z</m:t>
            </m:r>
          </m:sub>
        </m:sSub>
      </m:oMath>
      <w:r>
        <w:t xml:space="preserve"> </w:t>
      </w:r>
      <w:r>
        <w:t xml:space="preserve">= 0.335,</w:t>
      </w:r>
      <w:r>
        <w:t xml:space="preserve"> </w:t>
      </w:r>
      <m:oMath>
        <m:r>
          <m:t>B</m:t>
        </m:r>
        <m:sSub>
          <m:e>
            <m:r>
              <m:t>F</m:t>
            </m:r>
          </m:e>
          <m:sub>
            <m:r>
              <m:t>10</m:t>
            </m:r>
          </m:sub>
        </m:sSub>
      </m:oMath>
      <w:r>
        <w:t xml:space="preserve"> </w:t>
      </w:r>
      <w:r>
        <w:t xml:space="preserve">= 2.076)</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2021-12-12T03:47:51Z</dcterms:created>
  <dcterms:modified xsi:type="dcterms:W3CDTF">2021-12-12T03:47:51Z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December, 2021</vt:lpwstr>
  </property>
  <property fmtid="{D5CDD505-2E9C-101B-9397-08002B2CF9AE}" pid="3" name="output">
    <vt:lpwstr>word_document</vt:lpwstr>
  </property>
  <property fmtid="{D5CDD505-2E9C-101B-9397-08002B2CF9AE}" pid="4" name="params">
    <vt:lpwstr/>
  </property>
</Properties>
</file>