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w:t>
      </w:r>
      <w:r>
        <w:t xml:space="preserve"> </w:t>
      </w:r>
      <w:r>
        <w:t xml:space="preserve">notes</w:t>
      </w:r>
    </w:p>
    <w:p>
      <w:pPr>
        <w:pStyle w:val="Author"/>
      </w:pPr>
      <w:r>
        <w:t xml:space="preserve">Yuta</w:t>
      </w:r>
      <w:r>
        <w:t xml:space="preserve"> </w:t>
      </w:r>
      <w:r>
        <w:t xml:space="preserve">Suzuki</w:t>
      </w:r>
    </w:p>
    <w:p>
      <w:pPr>
        <w:pStyle w:val="Date"/>
      </w:pPr>
      <w:r>
        <w:t xml:space="preserve">4/23/2021</w:t>
      </w:r>
    </w:p>
    <w:bookmarkStart w:id="20" w:name="article-information"/>
    <w:p>
      <w:pPr>
        <w:pStyle w:val="Heading2"/>
      </w:pPr>
      <w:r>
        <w:t xml:space="preserve">Article information</w:t>
      </w:r>
    </w:p>
    <w:p>
      <w:pPr>
        <w:pStyle w:val="FirstParagraph"/>
      </w:pPr>
      <w:r>
        <w:t xml:space="preserve">Pupil response asymmetries of the periphery visual field in the glare illusion</w:t>
      </w:r>
    </w:p>
    <w:p>
      <w:pPr>
        <w:pStyle w:val="BodyText"/>
      </w:pPr>
      <w:r>
        <w:t xml:space="preserve">Novera Istiqomah, Yuta Suzuki, Yuya Kinzuka, Minami Tetsuto, Shigeki Nakauchi</w:t>
      </w:r>
    </w:p>
    <w:p>
      <w:pPr>
        <w:pStyle w:val="BodyText"/>
      </w:pPr>
      <w:r>
        <w:t xml:space="preserve">*Corresponding author: Yuta Suzuki</w:t>
      </w:r>
    </w:p>
    <w:bookmarkEnd w:id="20"/>
    <w:bookmarkStart w:id="24" w:name="figure-2"/>
    <w:p>
      <w:pPr>
        <w:pStyle w:val="Heading2"/>
      </w:pPr>
      <w:r>
        <w:t xml:space="preserve">Figure 2</w:t>
      </w:r>
    </w:p>
    <w:p>
      <w:pPr>
        <w:pStyle w:val="FirstParagraph"/>
      </w:pPr>
      <w:r>
        <w:drawing>
          <wp:inline>
            <wp:extent cx="5334000" cy="2051538"/>
            <wp:effectExtent b="0" l="0" r="0" t="0"/>
            <wp:docPr descr="" title="" id="1" name="Picture"/>
            <a:graphic>
              <a:graphicData uri="http://schemas.openxmlformats.org/drawingml/2006/picture">
                <pic:pic>
                  <pic:nvPicPr>
                    <pic:cNvPr descr="figure_files/figure-docx/unnamed-chunk-3-1.png" id="0" name="Picture"/>
                    <pic:cNvPicPr>
                      <a:picLocks noChangeArrowheads="1" noChangeAspect="1"/>
                    </pic:cNvPicPr>
                  </pic:nvPicPr>
                  <pic:blipFill>
                    <a:blip r:embed="rId21"/>
                    <a:stretch>
                      <a:fillRect/>
                    </a:stretch>
                  </pic:blipFill>
                  <pic:spPr bwMode="auto">
                    <a:xfrm>
                      <a:off x="0" y="0"/>
                      <a:ext cx="5334000" cy="2051538"/>
                    </a:xfrm>
                    <a:prstGeom prst="rect">
                      <a:avLst/>
                    </a:prstGeom>
                    <a:noFill/>
                    <a:ln w="9525">
                      <a:noFill/>
                      <a:headEnd/>
                      <a:tailEnd/>
                    </a:ln>
                  </pic:spPr>
                </pic:pic>
              </a:graphicData>
            </a:graphic>
          </wp:inline>
        </w:drawing>
      </w:r>
      <w:r>
        <w:t xml:space="preserve"> </w:t>
      </w:r>
      <w:r>
        <w:drawing>
          <wp:inline>
            <wp:extent cx="5334000" cy="5334000"/>
            <wp:effectExtent b="0" l="0" r="0" t="0"/>
            <wp:docPr descr="" title="" id="1" name="Picture"/>
            <a:graphic>
              <a:graphicData uri="http://schemas.openxmlformats.org/drawingml/2006/picture">
                <pic:pic>
                  <pic:nvPicPr>
                    <pic:cNvPr descr="figure_files/figure-docx/unnamed-chunk-4-1.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drawing>
          <wp:inline>
            <wp:extent cx="5334000" cy="5334000"/>
            <wp:effectExtent b="0" l="0" r="0" t="0"/>
            <wp:docPr descr="" title="" id="1" name="Picture"/>
            <a:graphic>
              <a:graphicData uri="http://schemas.openxmlformats.org/drawingml/2006/picture">
                <pic:pic>
                  <pic:nvPicPr>
                    <pic:cNvPr descr="figure_files/figure-docx/unnamed-chunk-5-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bookmarkEnd w:id="24"/>
    <w:bookmarkStart w:id="25" w:name="figure-3"/>
    <w:p>
      <w:pPr>
        <w:pStyle w:val="Heading2"/>
      </w:pPr>
      <w:r>
        <w:t xml:space="preserve">Figure 3</w:t>
      </w:r>
    </w:p>
    <w:bookmarkEnd w:id="25"/>
    <w:bookmarkStart w:id="26" w:name="results"/>
    <w:p>
      <w:pPr>
        <w:pStyle w:val="Heading2"/>
      </w:pPr>
      <w:r>
        <w:t xml:space="preserve">Results</w:t>
      </w:r>
    </w:p>
    <w:p>
      <w:pPr>
        <w:pStyle w:val="FirstParagraph"/>
      </w:pPr>
      <w:r>
        <w:t xml:space="preserve">We presented the glare illusion and halo stimuli at one out of five VF locations (i.e., upper, lower, left, right, and center). As reported previously, enhanced pupil constriction in the Center condition was observed shown in Fig.2A</w:t>
      </w:r>
      <w:r>
        <w:t xml:space="preserve"> </w:t>
      </w:r>
      <w:r>
        <w:t xml:space="preserve">(</w:t>
      </w:r>
      <m:oMath>
        <m:r>
          <m:t>t</m:t>
        </m:r>
      </m:oMath>
      <w:r>
        <w:t xml:space="preserve">(16) =</w:t>
      </w:r>
      <w:r>
        <w:t xml:space="preserve"> </w:t>
      </w:r>
      <w:r>
        <w:t xml:space="preserve">-2.421,</w:t>
      </w:r>
      <w:r>
        <w:t xml:space="preserve"> </w:t>
      </w:r>
      <m:oMath>
        <m:r>
          <m:t>p</m:t>
        </m:r>
      </m:oMath>
      <w:r>
        <w:t xml:space="preserve"> </w:t>
      </w:r>
      <w:r>
        <w:t xml:space="preserve">= 0.028,</w:t>
      </w:r>
      <w:r>
        <w:t xml:space="preserve"> </w:t>
      </w:r>
      <w:r>
        <w:t xml:space="preserve">Cohen’s</w:t>
      </w:r>
      <w:r>
        <w:t xml:space="preserve"> </w:t>
      </w:r>
      <m:oMath>
        <m:sSub>
          <m:e>
            <m:r>
              <m:t>d</m:t>
            </m:r>
          </m:e>
          <m:sub>
            <m:r>
              <m:t>z</m:t>
            </m:r>
          </m:sub>
        </m:sSub>
      </m:oMath>
      <w:r>
        <w:t xml:space="preserve"> </w:t>
      </w:r>
      <w:r>
        <w:t xml:space="preserve">= 0.306,</w:t>
      </w:r>
      <w:r>
        <w:t xml:space="preserve"> </w:t>
      </w:r>
      <m:oMath>
        <m:r>
          <m:t>B</m:t>
        </m:r>
        <m:sSub>
          <m:e>
            <m:r>
              <m:t>F</m:t>
            </m:r>
          </m:e>
          <m:sub>
            <m:r>
              <m:t>10</m:t>
            </m:r>
          </m:sub>
        </m:sSub>
      </m:oMath>
      <w:r>
        <w:t xml:space="preserve"> </w:t>
      </w:r>
      <w:r>
        <w:t xml:space="preserve">= 2.344)</w:t>
      </w:r>
    </w:p>
    <w:p>
      <w:pPr>
        <w:pStyle w:val="BodyText"/>
      </w:pPr>
      <w:r>
        <w:t xml:space="preserve">To assess temporal component of papillary response, the early component corresponded to peak pupil constriction after stimulus onset and the late comportment which was defined by are under the curve (AUC) were calculated (see Method). In early component (Fig 3B), pupil constriction to the glare illusion was larger than control pattern as the previous analysis</w:t>
      </w:r>
      <w:r>
        <w:t xml:space="preserve"> </w:t>
      </w:r>
      <w:r>
        <w:t xml:space="preserve">The two-way repeated measures ANOVA revealed a significant main effect on the pattern and VF locations (</w:t>
      </w:r>
      <m:oMath>
        <m:r>
          <m:t>F</m:t>
        </m:r>
      </m:oMath>
      <w:r>
        <w:t xml:space="preserve">(1,</w:t>
      </w:r>
      <w:r>
        <w:t xml:space="preserve"> </w:t>
      </w:r>
      <w:r>
        <w:t xml:space="preserve">16) =</w:t>
      </w:r>
      <w:r>
        <w:t xml:space="preserve"> </w:t>
      </w:r>
      <w:r>
        <w:t xml:space="preserve">7.165,</w:t>
      </w:r>
      <w:r>
        <w:t xml:space="preserve"> </w:t>
      </w:r>
      <w:r>
        <w:t xml:space="preserve">p = 0.017,</w:t>
      </w:r>
      <w:r>
        <w:t xml:space="preserve"> </w:t>
      </w:r>
      <m:oMath>
        <m:sSubSup>
          <m:e>
            <m:r>
              <m:t>η</m:t>
            </m:r>
          </m:e>
          <m:sub>
            <m:r>
              <m:t>p</m:t>
            </m:r>
          </m:sub>
          <m:sup>
            <m:r>
              <m:t>2</m:t>
            </m:r>
          </m:sup>
        </m:sSubSup>
      </m:oMath>
      <w:r>
        <w:t xml:space="preserve"> </w:t>
      </w:r>
      <w:r>
        <w:t xml:space="preserve">= 0.309;</w:t>
      </w:r>
      <w:r>
        <w:t xml:space="preserve"> </w:t>
      </w:r>
      <m:oMath>
        <m:r>
          <m:t>B</m:t>
        </m:r>
        <m:sSub>
          <m:e>
            <m:r>
              <m:t>F</m:t>
            </m:r>
          </m:e>
          <m:sub>
            <m:r>
              <m:t>10</m:t>
            </m:r>
          </m:sub>
        </m:sSub>
      </m:oMath>
      <w:r>
        <w:t xml:space="preserve"> </w:t>
      </w:r>
      <w:r>
        <w:t xml:space="preserve">= 8.522,</w:t>
      </w:r>
      <w:r>
        <w:t xml:space="preserve"> </w:t>
      </w:r>
      <m:oMath>
        <m:r>
          <m:t>F</m:t>
        </m:r>
      </m:oMath>
      <w:r>
        <w:t xml:space="preserve">(2.471,</w:t>
      </w:r>
      <w:r>
        <w:t xml:space="preserve"> </w:t>
      </w:r>
      <w:r>
        <w:t xml:space="preserve">39.541) =</w:t>
      </w:r>
      <w:r>
        <w:t xml:space="preserve"> </w:t>
      </w:r>
      <w:r>
        <w:t xml:space="preserve">5.933,</w:t>
      </w:r>
      <w:r>
        <w:t xml:space="preserve"> </w:t>
      </w:r>
      <w:r>
        <w:t xml:space="preserve">p = 0.003,</w:t>
      </w:r>
      <w:r>
        <w:t xml:space="preserve"> </w:t>
      </w:r>
      <m:oMath>
        <m:sSubSup>
          <m:e>
            <m:r>
              <m:t>η</m:t>
            </m:r>
          </m:e>
          <m:sub>
            <m:r>
              <m:t>p</m:t>
            </m:r>
          </m:sub>
          <m:sup>
            <m:r>
              <m:t>2</m:t>
            </m:r>
          </m:sup>
        </m:sSubSup>
      </m:oMath>
      <w:r>
        <w:t xml:space="preserve"> </w:t>
      </w:r>
      <w:r>
        <w:t xml:space="preserve">= 0.27,</w:t>
      </w:r>
      <w:r>
        <w:t xml:space="preserve"> </w:t>
      </w:r>
      <m:oMath>
        <m:r>
          <m:t>B</m:t>
        </m:r>
        <m:sSub>
          <m:e>
            <m:r>
              <m:t>F</m:t>
            </m:r>
          </m:e>
          <m:sub>
            <m:r>
              <m:t>10</m:t>
            </m:r>
          </m:sub>
        </m:sSub>
      </m:oMath>
      <w:r>
        <w:t xml:space="preserve"> </w:t>
      </w:r>
      <w:r>
        <w:t xml:space="preserve">= 3.024).</w:t>
      </w:r>
      <w:r>
        <w:t xml:space="preserve"> </w:t>
      </w:r>
      <w:r>
        <w:t xml:space="preserve">However, the post-hoc multiple comparisons for the VF locations showed that any pair of VF loaction did not reach the significance level (p &gt; 0.05).</w:t>
      </w:r>
      <w:r>
        <w:t xml:space="preserve"> </w:t>
      </w:r>
      <w:r>
        <w:t xml:space="preserve">There was no significant interaction between the pattern and VF locations</w:t>
      </w:r>
      <w:r>
        <w:t xml:space="preserve"> </w:t>
      </w:r>
      <w:r>
        <w:t xml:space="preserve">(</w:t>
      </w:r>
      <m:oMath>
        <m:r>
          <m:t>F</m:t>
        </m:r>
      </m:oMath>
      <w:r>
        <w:t xml:space="preserve">(2.84,</w:t>
      </w:r>
      <w:r>
        <w:t xml:space="preserve"> </w:t>
      </w:r>
      <w:r>
        <w:t xml:space="preserve">45.436) =</w:t>
      </w:r>
      <w:r>
        <w:t xml:space="preserve"> </w:t>
      </w:r>
      <w:r>
        <w:t xml:space="preserve">0.697,</w:t>
      </w:r>
      <w:r>
        <w:t xml:space="preserve"> </w:t>
      </w:r>
      <w:r>
        <w:t xml:space="preserve">p = 0.551,</w:t>
      </w:r>
      <w:r>
        <w:t xml:space="preserve"> </w:t>
      </w:r>
      <m:oMath>
        <m:sSubSup>
          <m:e>
            <m:r>
              <m:t>η</m:t>
            </m:r>
          </m:e>
          <m:sub>
            <m:r>
              <m:t>p</m:t>
            </m:r>
          </m:sub>
          <m:sup>
            <m:r>
              <m:t>2</m:t>
            </m:r>
          </m:sup>
        </m:sSubSup>
      </m:oMath>
      <w:r>
        <w:t xml:space="preserve"> </w:t>
      </w:r>
      <w:r>
        <w:t xml:space="preserve">= 0.042,</w:t>
      </w:r>
      <w:r>
        <w:t xml:space="preserve"> </w:t>
      </w:r>
      <m:oMath>
        <m:r>
          <m:t>B</m:t>
        </m:r>
        <m:sSub>
          <m:e>
            <m:r>
              <m:t>F</m:t>
            </m:r>
          </m:e>
          <m:sub>
            <m:r>
              <m:t>10</m:t>
            </m:r>
          </m:sub>
        </m:sSub>
      </m:oMath>
      <w:r>
        <w:t xml:space="preserve"> </w:t>
      </w:r>
      <w:r>
        <w:t xml:space="preserve">= 0.211).</w:t>
      </w:r>
    </w:p>
    <w:p>
      <w:pPr>
        <w:pStyle w:val="BodyText"/>
      </w:pPr>
      <w:r>
        <w:t xml:space="preserve">For the Center condition,</w:t>
      </w:r>
      <w:r>
        <w:t xml:space="preserve"> </w:t>
      </w:r>
      <w:r>
        <w:t xml:space="preserve">(</w:t>
      </w:r>
      <m:oMath>
        <m:r>
          <m:t>t</m:t>
        </m:r>
      </m:oMath>
      <w:r>
        <w:t xml:space="preserve">(16) =</w:t>
      </w:r>
      <w:r>
        <w:t xml:space="preserve"> </w:t>
      </w:r>
      <w:r>
        <w:t xml:space="preserve">-2.355,</w:t>
      </w:r>
      <w:r>
        <w:t xml:space="preserve"> </w:t>
      </w:r>
      <m:oMath>
        <m:r>
          <m:t>p</m:t>
        </m:r>
      </m:oMath>
      <w:r>
        <w:t xml:space="preserve"> </w:t>
      </w:r>
      <w:r>
        <w:t xml:space="preserve">= 0.032,</w:t>
      </w:r>
      <w:r>
        <w:t xml:space="preserve"> </w:t>
      </w:r>
      <w:r>
        <w:t xml:space="preserve">Cohen’s</w:t>
      </w:r>
      <w:r>
        <w:t xml:space="preserve"> </w:t>
      </w:r>
      <m:oMath>
        <m:sSub>
          <m:e>
            <m:r>
              <m:t>d</m:t>
            </m:r>
          </m:e>
          <m:sub>
            <m:r>
              <m:t>z</m:t>
            </m:r>
          </m:sub>
        </m:sSub>
      </m:oMath>
      <w:r>
        <w:t xml:space="preserve"> </w:t>
      </w:r>
      <w:r>
        <w:t xml:space="preserve">= 0.291,</w:t>
      </w:r>
      <w:r>
        <w:t xml:space="preserve"> </w:t>
      </w:r>
      <m:oMath>
        <m:r>
          <m:t>B</m:t>
        </m:r>
        <m:sSub>
          <m:e>
            <m:r>
              <m:t>F</m:t>
            </m:r>
          </m:e>
          <m:sub>
            <m:r>
              <m:t>10</m:t>
            </m:r>
          </m:sub>
        </m:sSub>
      </m:oMath>
      <w:r>
        <w:t xml:space="preserve"> </w:t>
      </w:r>
      <w:r>
        <w:t xml:space="preserve">= 2.11)</w:t>
      </w:r>
    </w:p>
    <w:p>
      <w:pPr>
        <w:pStyle w:val="BodyText"/>
      </w:pPr>
      <w:r>
        <w:t xml:space="preserve">The two-way repeated measures ANOVA revealed a significant main effect on the VF location and interaction</w:t>
      </w:r>
      <w:r>
        <w:t xml:space="preserve"> </w:t>
      </w:r>
      <w:r>
        <w:t xml:space="preserve">(</w:t>
      </w:r>
      <m:oMath>
        <m:r>
          <m:t>F</m:t>
        </m:r>
      </m:oMath>
      <w:r>
        <w:t xml:space="preserve">(2.148,</w:t>
      </w:r>
      <w:r>
        <w:t xml:space="preserve"> </w:t>
      </w:r>
      <w:r>
        <w:t xml:space="preserve">34.362) =</w:t>
      </w:r>
      <w:r>
        <w:t xml:space="preserve"> </w:t>
      </w:r>
      <w:r>
        <w:t xml:space="preserve">7.523,</w:t>
      </w:r>
      <w:r>
        <w:t xml:space="preserve"> </w:t>
      </w:r>
      <w:r>
        <w:t xml:space="preserve">p = 0.002,</w:t>
      </w:r>
      <w:r>
        <w:t xml:space="preserve"> </w:t>
      </w:r>
      <m:oMath>
        <m:sSubSup>
          <m:e>
            <m:r>
              <m:t>η</m:t>
            </m:r>
          </m:e>
          <m:sub>
            <m:r>
              <m:t>p</m:t>
            </m:r>
          </m:sub>
          <m:sup>
            <m:r>
              <m:t>2</m:t>
            </m:r>
          </m:sup>
        </m:sSubSup>
      </m:oMath>
      <w:r>
        <w:t xml:space="preserve"> </w:t>
      </w:r>
      <w:r>
        <w:t xml:space="preserve">= 0.32,</w:t>
      </w:r>
      <w:r>
        <w:t xml:space="preserve"> </w:t>
      </w:r>
      <m:oMath>
        <m:r>
          <m:t>B</m:t>
        </m:r>
        <m:sSub>
          <m:e>
            <m:r>
              <m:t>F</m:t>
            </m:r>
          </m:e>
          <m:sub>
            <m:r>
              <m:t>10</m:t>
            </m:r>
          </m:sub>
        </m:sSub>
      </m:oMath>
      <w:r>
        <w:t xml:space="preserve"> </w:t>
      </w:r>
      <w:r>
        <w:t xml:space="preserve">= 190.467;</w:t>
      </w:r>
      <w:r>
        <w:t xml:space="preserve"> </w:t>
      </w:r>
      <m:oMath>
        <m:r>
          <m:t>F</m:t>
        </m:r>
      </m:oMath>
      <w:r>
        <w:t xml:space="preserve">(2.973,</w:t>
      </w:r>
      <w:r>
        <w:t xml:space="preserve"> </w:t>
      </w:r>
      <w:r>
        <w:t xml:space="preserve">47.573) =</w:t>
      </w:r>
      <w:r>
        <w:t xml:space="preserve"> </w:t>
      </w:r>
      <w:r>
        <w:t xml:space="preserve">3.481,</w:t>
      </w:r>
      <w:r>
        <w:t xml:space="preserve"> </w:t>
      </w:r>
      <w:r>
        <w:t xml:space="preserve">p = 0.023,</w:t>
      </w:r>
      <w:r>
        <w:t xml:space="preserve"> </w:t>
      </w:r>
      <m:oMath>
        <m:sSubSup>
          <m:e>
            <m:r>
              <m:t>η</m:t>
            </m:r>
          </m:e>
          <m:sub>
            <m:r>
              <m:t>p</m:t>
            </m:r>
          </m:sub>
          <m:sup>
            <m:r>
              <m:t>2</m:t>
            </m:r>
          </m:sup>
        </m:sSubSup>
      </m:oMath>
      <w:r>
        <w:t xml:space="preserve"> </w:t>
      </w:r>
      <w:r>
        <w:t xml:space="preserve">= 0.179,</w:t>
      </w:r>
      <w:r>
        <w:t xml:space="preserve"> </w:t>
      </w:r>
      <m:oMath>
        <m:r>
          <m:t>B</m:t>
        </m:r>
        <m:sSub>
          <m:e>
            <m:r>
              <m:t>F</m:t>
            </m:r>
          </m:e>
          <m:sub>
            <m:r>
              <m:t>10</m:t>
            </m:r>
          </m:sub>
        </m:sSub>
      </m:oMath>
      <w:r>
        <w:t xml:space="preserve"> </w:t>
      </w:r>
      <w:r>
        <w:t xml:space="preserve">= 2.482).</w:t>
      </w:r>
      <w:r>
        <w:t xml:space="preserve"> </w:t>
      </w:r>
      <w:r>
        <w:t xml:space="preserve">The UVF produces larger pupil dilation than the left and Right VFs</w:t>
      </w:r>
      <w:r>
        <w:t xml:space="preserve"> </w:t>
      </w:r>
      <w:r>
        <w:t xml:space="preserve">(</w:t>
      </w:r>
      <m:oMath>
        <m:r>
          <m:t>t</m:t>
        </m:r>
      </m:oMath>
      <w:r>
        <w:t xml:space="preserve">(16) =</w:t>
      </w:r>
      <w:r>
        <w:t xml:space="preserve"> </w:t>
      </w:r>
      <w:r>
        <w:t xml:space="preserve">4.359,</w:t>
      </w:r>
      <w:r>
        <w:t xml:space="preserve"> </w:t>
      </w:r>
      <m:oMath>
        <m:r>
          <m:t>p</m:t>
        </m:r>
      </m:oMath>
      <w:r>
        <w:t xml:space="preserve"> </w:t>
      </w:r>
      <w:r>
        <w:t xml:space="preserve">= 0.003;</w:t>
      </w:r>
      <w:r>
        <w:t xml:space="preserve"> </w:t>
      </w:r>
      <m:oMath>
        <m:r>
          <m:t>t</m:t>
        </m:r>
      </m:oMath>
      <w:r>
        <w:t xml:space="preserve">(16) =</w:t>
      </w:r>
      <w:r>
        <w:t xml:space="preserve"> </w:t>
      </w:r>
      <w:r>
        <w:t xml:space="preserve">3.165,</w:t>
      </w:r>
      <w:r>
        <w:t xml:space="preserve"> </w:t>
      </w:r>
      <m:oMath>
        <m:r>
          <m:t>p</m:t>
        </m:r>
      </m:oMath>
      <w:r>
        <w:t xml:space="preserve"> </w:t>
      </w:r>
      <w:r>
        <w:t xml:space="preserve">= 0.018;</w:t>
      </w:r>
      <w:r>
        <w:t xml:space="preserve"> </w:t>
      </w:r>
      <m:oMath>
        <m:r>
          <m:t>t</m:t>
        </m:r>
      </m:oMath>
      <w:r>
        <w:t xml:space="preserve">(16) =</w:t>
      </w:r>
      <w:r>
        <w:t xml:space="preserve"> </w:t>
      </w:r>
      <w:r>
        <w:t xml:space="preserve">2.308,</w:t>
      </w:r>
      <w:r>
        <w:t xml:space="preserve"> </w:t>
      </w:r>
      <m:oMath>
        <m:r>
          <m:t>p</m:t>
        </m:r>
      </m:oMath>
      <w:r>
        <w:t xml:space="preserve"> </w:t>
      </w:r>
      <w:r>
        <w:t xml:space="preserve">= 0.104;</w:t>
      </w:r>
      <w:r>
        <w:t xml:space="preserve"> </w:t>
      </w:r>
      <m:oMath>
        <m:r>
          <m:t>t</m:t>
        </m:r>
      </m:oMath>
      <w:r>
        <w:t xml:space="preserve">(16) =</w:t>
      </w:r>
      <w:r>
        <w:t xml:space="preserve"> </w:t>
      </w:r>
      <w:r>
        <w:t xml:space="preserve">2.252,</w:t>
      </w:r>
      <w:r>
        <w:t xml:space="preserve"> </w:t>
      </w:r>
      <m:oMath>
        <m:r>
          <m:t>p</m:t>
        </m:r>
      </m:oMath>
      <w:r>
        <w:t xml:space="preserve"> </w:t>
      </w:r>
      <w:r>
        <w:t xml:space="preserve">= 0.116;</w:t>
      </w:r>
      <w:r>
        <w:t xml:space="preserve"> </w:t>
      </w:r>
      <m:oMath>
        <m:r>
          <m:t>t</m:t>
        </m:r>
      </m:oMath>
      <w:r>
        <w:t xml:space="preserve">(16) =</w:t>
      </w:r>
      <w:r>
        <w:t xml:space="preserve"> </w:t>
      </w:r>
      <w:r>
        <w:t xml:space="preserve">2.036,</w:t>
      </w:r>
      <w:r>
        <w:t xml:space="preserve"> </w:t>
      </w:r>
      <m:oMath>
        <m:r>
          <m:t>p</m:t>
        </m:r>
      </m:oMath>
      <w:r>
        <w:t xml:space="preserve"> </w:t>
      </w:r>
      <w:r>
        <w:t xml:space="preserve">= 0.117;</w:t>
      </w:r>
      <w:r>
        <w:t xml:space="preserve"> </w:t>
      </w:r>
      <w:r>
        <w:t xml:space="preserve">)</w:t>
      </w:r>
    </w:p>
    <w:p>
      <w:pPr>
        <w:pStyle w:val="BodyText"/>
      </w:pPr>
      <w:r>
        <w:t xml:space="preserve">(</w:t>
      </w:r>
      <m:oMath>
        <m:r>
          <m:t>t</m:t>
        </m:r>
      </m:oMath>
      <w:r>
        <w:t xml:space="preserve">(16) =</w:t>
      </w:r>
      <w:r>
        <w:t xml:space="preserve"> </w:t>
      </w:r>
      <w:r>
        <w:t xml:space="preserve">7.85,</w:t>
      </w:r>
      <w:r>
        <w:t xml:space="preserve"> </w:t>
      </w:r>
      <m:oMath>
        <m:r>
          <m:t>p</m:t>
        </m:r>
      </m:oMath>
      <w:r>
        <w:t xml:space="preserve"> </w:t>
      </w:r>
      <w:r>
        <w:t xml:space="preserve">= 0.013,</w:t>
      </w:r>
      <w:r>
        <w:t xml:space="preserve"> </w:t>
      </w:r>
      <m:oMath>
        <m:sSubSup>
          <m:e>
            <m:r>
              <m:t>η</m:t>
            </m:r>
          </m:e>
          <m:sub>
            <m:r>
              <m:t>p</m:t>
            </m:r>
          </m:sub>
          <m:sup>
            <m:r>
              <m:t>2</m:t>
            </m:r>
          </m:sup>
        </m:sSubSup>
      </m:oMath>
      <w:r>
        <w:t xml:space="preserve"> </w:t>
      </w:r>
      <w:r>
        <w:t xml:space="preserve">= 0.329;</w:t>
      </w:r>
      <w:r>
        <w:t xml:space="preserve"> </w:t>
      </w:r>
      <m:oMath>
        <m:r>
          <m:t>t</m:t>
        </m:r>
      </m:oMath>
      <w:r>
        <w:t xml:space="preserve">(16) =</w:t>
      </w:r>
      <w:r>
        <w:t xml:space="preserve"> </w:t>
      </w:r>
      <w:r>
        <w:t xml:space="preserve">0.301,</w:t>
      </w:r>
      <w:r>
        <w:t xml:space="preserve"> </w:t>
      </w:r>
      <m:oMath>
        <m:r>
          <m:t>p</m:t>
        </m:r>
      </m:oMath>
      <w:r>
        <w:t xml:space="preserve"> </w:t>
      </w:r>
      <w:r>
        <w:t xml:space="preserve">= 0.591,</w:t>
      </w:r>
      <w:r>
        <w:t xml:space="preserve"> </w:t>
      </w:r>
      <m:oMath>
        <m:sSubSup>
          <m:e>
            <m:r>
              <m:t>η</m:t>
            </m:r>
          </m:e>
          <m:sub>
            <m:r>
              <m:t>p</m:t>
            </m:r>
          </m:sub>
          <m:sup>
            <m:r>
              <m:t>2</m:t>
            </m:r>
          </m:sup>
        </m:sSubSup>
      </m:oMath>
      <w:r>
        <w:t xml:space="preserve"> </w:t>
      </w:r>
      <w:r>
        <w:t xml:space="preserve">= 0.018;</w:t>
      </w:r>
      <w:r>
        <w:t xml:space="preserve"> </w:t>
      </w:r>
      <m:oMath>
        <m:r>
          <m:t>t</m:t>
        </m:r>
      </m:oMath>
      <w:r>
        <w:t xml:space="preserve">(16) =</w:t>
      </w:r>
      <w:r>
        <w:t xml:space="preserve"> </w:t>
      </w:r>
      <w:r>
        <w:t xml:space="preserve">0.668,</w:t>
      </w:r>
      <w:r>
        <w:t xml:space="preserve"> </w:t>
      </w:r>
      <m:oMath>
        <m:r>
          <m:t>p</m:t>
        </m:r>
      </m:oMath>
      <w:r>
        <w:t xml:space="preserve"> </w:t>
      </w:r>
      <w:r>
        <w:t xml:space="preserve">= 0.426,</w:t>
      </w:r>
      <w:r>
        <w:t xml:space="preserve"> </w:t>
      </w:r>
      <m:oMath>
        <m:sSubSup>
          <m:e>
            <m:r>
              <m:t>η</m:t>
            </m:r>
          </m:e>
          <m:sub>
            <m:r>
              <m:t>p</m:t>
            </m:r>
          </m:sub>
          <m:sup>
            <m:r>
              <m:t>2</m:t>
            </m:r>
          </m:sup>
        </m:sSubSup>
      </m:oMath>
      <w:r>
        <w:t xml:space="preserve"> </w:t>
      </w:r>
      <w:r>
        <w:t xml:space="preserve">= 0.04;</w:t>
      </w:r>
      <w:r>
        <w:t xml:space="preserve"> </w:t>
      </w:r>
      <m:oMath>
        <m:r>
          <m:t>t</m:t>
        </m:r>
      </m:oMath>
      <w:r>
        <w:t xml:space="preserve">(16) =</w:t>
      </w:r>
      <w:r>
        <w:t xml:space="preserve"> </w:t>
      </w:r>
      <w:r>
        <w:t xml:space="preserve">0.816,</w:t>
      </w:r>
      <w:r>
        <w:t xml:space="preserve"> </w:t>
      </w:r>
      <m:oMath>
        <m:r>
          <m:t>p</m:t>
        </m:r>
      </m:oMath>
      <w:r>
        <w:t xml:space="preserve"> </w:t>
      </w:r>
      <w:r>
        <w:t xml:space="preserve">= 0.38,</w:t>
      </w:r>
      <w:r>
        <w:t xml:space="preserve"> </w:t>
      </w:r>
      <m:oMath>
        <m:sSubSup>
          <m:e>
            <m:r>
              <m:t>η</m:t>
            </m:r>
          </m:e>
          <m:sub>
            <m:r>
              <m:t>p</m:t>
            </m:r>
          </m:sub>
          <m:sup>
            <m:r>
              <m:t>2</m:t>
            </m:r>
          </m:sup>
        </m:sSubSup>
      </m:oMath>
      <w:r>
        <w:t xml:space="preserve"> </w:t>
      </w:r>
      <w:r>
        <w:t xml:space="preserve">= 0.049</w:t>
      </w:r>
      <w:r>
        <w:t xml:space="preserve"> </w:t>
      </w:r>
      <w:r>
        <w:t xml:space="preserve">)</w:t>
      </w:r>
    </w:p>
    <w:p>
      <w:pPr>
        <w:pStyle w:val="BodyText"/>
      </w:pPr>
      <w:r>
        <w:t xml:space="preserve">in line with the previous studies</w:t>
      </w:r>
      <w:r>
        <w:t xml:space="preserve"> </w:t>
      </w:r>
      <w:r>
        <w:rPr>
          <w:bCs/>
          <w:b/>
        </w:rPr>
        <w:t xml:space="preserve">(Hong et al., 2001; Sabeti et al., 2011; Tan et al., 2001; Wilhelm et al., 2000)</w:t>
      </w:r>
      <w:r>
        <w:t xml:space="preserve">.</w:t>
      </w:r>
    </w:p>
    <w:p>
      <w:pPr>
        <w:pStyle w:val="BodyText"/>
      </w:pPr>
      <w:r>
        <w:t xml:space="preserve">For the Center condition,</w:t>
      </w:r>
      <w:r>
        <w:t xml:space="preserve"> </w:t>
      </w:r>
      <w:r>
        <w:t xml:space="preserve">(</w:t>
      </w:r>
      <m:oMath>
        <m:r>
          <m:t>t</m:t>
        </m:r>
      </m:oMath>
      <w:r>
        <w:t xml:space="preserve">(16) =</w:t>
      </w:r>
      <w:r>
        <w:t xml:space="preserve"> </w:t>
      </w:r>
      <w:r>
        <w:t xml:space="preserve">-1.795,</w:t>
      </w:r>
      <w:r>
        <w:t xml:space="preserve"> </w:t>
      </w:r>
      <m:oMath>
        <m:r>
          <m:t>p</m:t>
        </m:r>
      </m:oMath>
      <w:r>
        <w:t xml:space="preserve"> </w:t>
      </w:r>
      <w:r>
        <w:t xml:space="preserve">= 0.092,</w:t>
      </w:r>
      <w:r>
        <w:t xml:space="preserve"> </w:t>
      </w:r>
      <w:r>
        <w:t xml:space="preserve">Cohen’s</w:t>
      </w:r>
      <w:r>
        <w:t xml:space="preserve"> </w:t>
      </w:r>
      <m:oMath>
        <m:sSub>
          <m:e>
            <m:r>
              <m:t>d</m:t>
            </m:r>
          </m:e>
          <m:sub>
            <m:r>
              <m:t>z</m:t>
            </m:r>
          </m:sub>
        </m:sSub>
      </m:oMath>
      <w:r>
        <w:t xml:space="preserve"> </w:t>
      </w:r>
      <w:r>
        <w:t xml:space="preserve">= 0.266,</w:t>
      </w:r>
      <w:r>
        <w:t xml:space="preserve"> </w:t>
      </w:r>
      <m:oMath>
        <m:r>
          <m:t>B</m:t>
        </m:r>
        <m:sSub>
          <m:e>
            <m:r>
              <m:t>F</m:t>
            </m:r>
          </m:e>
          <m:sub>
            <m:r>
              <m:t>10</m:t>
            </m:r>
          </m:sub>
        </m:sSub>
      </m:oMath>
      <w:r>
        <w:t xml:space="preserve"> </w:t>
      </w:r>
      <w:r>
        <w:t xml:space="preserve">= 0.929)</w:t>
      </w:r>
    </w:p>
    <w:bookmarkEnd w:id="26"/>
    <w:bookmarkStart w:id="27" w:name="figure-3-1"/>
    <w:p>
      <w:pPr>
        <w:pStyle w:val="Heading2"/>
      </w:pPr>
      <w:r>
        <w:t xml:space="preserve">Figure 3</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 notes</dc:title>
  <dc:creator>Yuta Suzuki</dc:creator>
  <cp:keywords/>
  <dcterms:created xsi:type="dcterms:W3CDTF">2021-12-01T10:05:01Z</dcterms:created>
  <dcterms:modified xsi:type="dcterms:W3CDTF">2021-12-01T10:05:01Z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4/23/2021</vt:lpwstr>
  </property>
  <property fmtid="{D5CDD505-2E9C-101B-9397-08002B2CF9AE}" pid="3" name="output">
    <vt:lpwstr>word_document</vt:lpwstr>
  </property>
  <property fmtid="{D5CDD505-2E9C-101B-9397-08002B2CF9AE}" pid="4" name="params">
    <vt:lpwstr/>
  </property>
</Properties>
</file>