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23</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p>
      <w:pPr>
        <w:pStyle w:val="TableCaption"/>
      </w:pPr>
      <w:r>
        <w:t xml:space="preserve">ANOVA table for early compornent</w:t>
      </w:r>
    </w:p>
    <w:tbl>
      <w:tblPr>
        <w:tblStyle w:val="Table"/>
        <w:tblW w:type="pct" w:w="0.0"/>
        <w:tblLook w:firstRow="1" w:lastRow="0" w:firstColumn="0" w:lastColumn="0" w:noHBand="0" w:noVBand="0" w:val="0020"/>
        <w:tblCaption w:val="ANOVA table for early compornent"/>
      </w:tblPr>
      <w:tblGrid/>
      <w:tr>
        <w:tc>
          <w:p>
            <w:pPr>
              <w:pStyle w:val="Compact"/>
              <w:jc w:val="left"/>
            </w:pPr>
            <w:r>
              <w:t xml:space="preserve">factor</w:t>
            </w:r>
          </w:p>
        </w:tc>
        <w:tc>
          <w:p>
            <w:pPr>
              <w:pStyle w:val="Compact"/>
              <w:jc w:val="right"/>
            </w:pPr>
            <w:r>
              <w:t xml:space="preserve">df</w:t>
            </w:r>
          </w:p>
        </w:tc>
        <w:tc>
          <w:p>
            <w:pPr>
              <w:pStyle w:val="Compact"/>
              <w:jc w:val="right"/>
            </w:pPr>
            <w:r>
              <w:t xml:space="preserve">F</w:t>
            </w:r>
          </w:p>
        </w:tc>
        <w:tc>
          <w:p>
            <w:pPr>
              <w:pStyle w:val="Compact"/>
              <w:jc w:val="right"/>
            </w:pPr>
            <w:r>
              <w:t xml:space="preserve">p</w:t>
            </w:r>
          </w:p>
        </w:tc>
        <w:tc>
          <w:p>
            <w:pPr>
              <w:pStyle w:val="Compact"/>
              <w:jc w:val="left"/>
            </w:pPr>
            <w:r>
              <w:t xml:space="preserve">sig</w:t>
            </w:r>
          </w:p>
        </w:tc>
        <w:tc>
          <w:p>
            <w:pPr>
              <w:pStyle w:val="Compact"/>
              <w:jc w:val="right"/>
            </w:pPr>
            <w:r>
              <w:t xml:space="preserve">p.eta^2</w:t>
            </w:r>
          </w:p>
        </w:tc>
      </w:tr>
      <w:tr>
        <w:tc>
          <w:p>
            <w:pPr>
              <w:pStyle w:val="Compact"/>
              <w:jc w:val="left"/>
            </w:pPr>
            <w:r>
              <w:t xml:space="preserve">Locs</w:t>
            </w:r>
          </w:p>
        </w:tc>
        <w:tc>
          <w:p>
            <w:pPr>
              <w:pStyle w:val="Compact"/>
              <w:jc w:val="right"/>
            </w:pPr>
            <w:r>
              <w:t xml:space="preserve">2.890</w:t>
            </w:r>
          </w:p>
        </w:tc>
        <w:tc>
          <w:p>
            <w:pPr>
              <w:pStyle w:val="Compact"/>
              <w:jc w:val="right"/>
            </w:pPr>
            <w:r>
              <w:t xml:space="preserve">4.356</w:t>
            </w:r>
          </w:p>
        </w:tc>
        <w:tc>
          <w:p>
            <w:pPr>
              <w:pStyle w:val="Compact"/>
              <w:jc w:val="right"/>
            </w:pPr>
            <w:r>
              <w:t xml:space="preserve">0.009</w:t>
            </w:r>
          </w:p>
        </w:tc>
        <w:tc>
          <w:p>
            <w:pPr>
              <w:pStyle w:val="Compact"/>
              <w:jc w:val="left"/>
            </w:pPr>
            <w:r>
              <w:t xml:space="preserve">**</w:t>
            </w:r>
          </w:p>
        </w:tc>
        <w:tc>
          <w:p>
            <w:pPr>
              <w:pStyle w:val="Compact"/>
              <w:jc w:val="right"/>
            </w:pPr>
            <w:r>
              <w:t xml:space="preserve">0.195</w:t>
            </w:r>
          </w:p>
        </w:tc>
      </w:tr>
      <w:tr>
        <w:tc>
          <w:p>
            <w:pPr>
              <w:pStyle w:val="Compact"/>
              <w:jc w:val="left"/>
            </w:pPr>
            <w:r>
              <w:t xml:space="preserve">Pattern</w:t>
            </w:r>
          </w:p>
        </w:tc>
        <w:tc>
          <w:p>
            <w:pPr>
              <w:pStyle w:val="Compact"/>
              <w:jc w:val="right"/>
            </w:pPr>
            <w:r>
              <w:t xml:space="preserve">1.000</w:t>
            </w:r>
          </w:p>
        </w:tc>
        <w:tc>
          <w:p>
            <w:pPr>
              <w:pStyle w:val="Compact"/>
              <w:jc w:val="right"/>
            </w:pPr>
            <w:r>
              <w:t xml:space="preserve">8.134</w:t>
            </w:r>
          </w:p>
        </w:tc>
        <w:tc>
          <w:p>
            <w:pPr>
              <w:pStyle w:val="Compact"/>
              <w:jc w:val="right"/>
            </w:pPr>
            <w:r>
              <w:t xml:space="preserve">0.011</w:t>
            </w:r>
          </w:p>
        </w:tc>
        <w:tc>
          <w:p>
            <w:pPr>
              <w:pStyle w:val="Compact"/>
              <w:jc w:val="left"/>
            </w:pPr>
            <w:r>
              <w:t xml:space="preserve">*</w:t>
            </w:r>
          </w:p>
        </w:tc>
        <w:tc>
          <w:p>
            <w:pPr>
              <w:pStyle w:val="Compact"/>
              <w:jc w:val="right"/>
            </w:pPr>
            <w:r>
              <w:t xml:space="preserve">0.311</w:t>
            </w:r>
          </w:p>
        </w:tc>
      </w:tr>
      <w:tr>
        <w:tc>
          <w:p>
            <w:pPr>
              <w:pStyle w:val="Compact"/>
              <w:jc w:val="left"/>
            </w:pPr>
            <w:r>
              <w:t xml:space="preserve">Locs x Pattern</w:t>
            </w:r>
          </w:p>
        </w:tc>
        <w:tc>
          <w:p>
            <w:pPr>
              <w:pStyle w:val="Compact"/>
              <w:jc w:val="right"/>
            </w:pPr>
            <w:r>
              <w:t xml:space="preserve">2.663</w:t>
            </w:r>
          </w:p>
        </w:tc>
        <w:tc>
          <w:p>
            <w:pPr>
              <w:pStyle w:val="Compact"/>
              <w:jc w:val="right"/>
            </w:pPr>
            <w:r>
              <w:t xml:space="preserve">1.066</w:t>
            </w:r>
          </w:p>
        </w:tc>
        <w:tc>
          <w:p>
            <w:pPr>
              <w:pStyle w:val="Compact"/>
              <w:jc w:val="right"/>
            </w:pPr>
            <w:r>
              <w:t xml:space="preserve">0.367</w:t>
            </w:r>
          </w:p>
        </w:tc>
        <w:tc>
          <w:p>
            <w:pPr>
              <w:pStyle w:val="Compact"/>
              <w:jc w:val="left"/>
            </w:pPr>
            <w:r>
              <w:t xml:space="preserve">ns</w:t>
            </w:r>
          </w:p>
        </w:tc>
        <w:tc>
          <w:p>
            <w:pPr>
              <w:pStyle w:val="Compact"/>
              <w:jc w:val="right"/>
            </w:pPr>
            <w:r>
              <w:t xml:space="preserve">0.056</w:t>
            </w:r>
          </w:p>
        </w:tc>
      </w:tr>
    </w:tbl>
    <w:p>
      <w:pPr>
        <w:pStyle w:val="TableCaption"/>
      </w:pPr>
      <w:r>
        <w:t xml:space="preserve">Multiple comparisons for the VF locations</w:t>
      </w:r>
    </w:p>
    <w:tbl>
      <w:tblPr>
        <w:tblStyle w:val="Table"/>
        <w:tblW w:type="pct" w:w="0.0"/>
        <w:tblLook w:firstRow="1" w:lastRow="0" w:firstColumn="0" w:lastColumn="0" w:noHBand="0" w:noVBand="0" w:val="0020"/>
        <w:tblCaption w:val="Multiple comparisons for the VF locations"/>
      </w:tblPr>
      <w:tblGrid/>
      <w:tr>
        <w:tc>
          <w:p>
            <w:pPr>
              <w:pStyle w:val="Compact"/>
              <w:jc w:val="left"/>
            </w:pPr>
            <w:r>
              <w:t xml:space="preserve">pair</w:t>
            </w:r>
          </w:p>
        </w:tc>
        <w:tc>
          <w:p>
            <w:pPr>
              <w:pStyle w:val="Compact"/>
              <w:jc w:val="right"/>
            </w:pPr>
            <w:r>
              <w:t xml:space="preserve">t</w:t>
            </w:r>
          </w:p>
        </w:tc>
        <w:tc>
          <w:p>
            <w:pPr>
              <w:pStyle w:val="Compact"/>
              <w:jc w:val="right"/>
            </w:pPr>
            <w:r>
              <w:t xml:space="preserve">df</w:t>
            </w:r>
          </w:p>
        </w:tc>
        <w:tc>
          <w:p>
            <w:pPr>
              <w:pStyle w:val="Compact"/>
              <w:jc w:val="right"/>
            </w:pPr>
            <w:r>
              <w:t xml:space="preserve">p</w:t>
            </w:r>
          </w:p>
        </w:tc>
        <w:tc>
          <w:p>
            <w:pPr>
              <w:pStyle w:val="Compact"/>
              <w:jc w:val="right"/>
            </w:pPr>
            <w:r>
              <w:t xml:space="preserve">adj.p</w:t>
            </w:r>
          </w:p>
        </w:tc>
        <w:tc>
          <w:p>
            <w:pPr>
              <w:pStyle w:val="Compact"/>
              <w:jc w:val="left"/>
            </w:pPr>
            <w:r>
              <w:t xml:space="preserve">sig</w:t>
            </w:r>
          </w:p>
        </w:tc>
      </w:tr>
      <w:tr>
        <w:tc>
          <w:p>
            <w:pPr>
              <w:pStyle w:val="Compact"/>
              <w:jc w:val="left"/>
            </w:pPr>
            <w:r>
              <w:t xml:space="preserve">Lower-Left</w:t>
            </w:r>
          </w:p>
        </w:tc>
        <w:tc>
          <w:p>
            <w:pPr>
              <w:pStyle w:val="Compact"/>
              <w:jc w:val="right"/>
            </w:pPr>
            <w:r>
              <w:t xml:space="preserve">2.880</w:t>
            </w:r>
          </w:p>
        </w:tc>
        <w:tc>
          <w:p>
            <w:pPr>
              <w:pStyle w:val="Compact"/>
              <w:jc w:val="right"/>
            </w:pPr>
            <w:r>
              <w:t xml:space="preserve">18</w:t>
            </w:r>
          </w:p>
        </w:tc>
        <w:tc>
          <w:p>
            <w:pPr>
              <w:pStyle w:val="Compact"/>
              <w:jc w:val="right"/>
            </w:pPr>
            <w:r>
              <w:t xml:space="preserve">0.010</w:t>
            </w:r>
          </w:p>
        </w:tc>
        <w:tc>
          <w:p>
            <w:pPr>
              <w:pStyle w:val="Compact"/>
              <w:jc w:val="right"/>
            </w:pPr>
            <w:r>
              <w:t xml:space="preserve">0.060</w:t>
            </w:r>
          </w:p>
        </w:tc>
        <w:tc>
          <w:p>
            <w:pPr>
              <w:pStyle w:val="Compact"/>
              <w:jc w:val="left"/>
            </w:pPr>
            <w:r>
              <w:t xml:space="preserve">Lower = Left</w:t>
            </w:r>
          </w:p>
        </w:tc>
      </w:tr>
      <w:tr>
        <w:tc>
          <w:p>
            <w:pPr>
              <w:pStyle w:val="Compact"/>
              <w:jc w:val="left"/>
            </w:pPr>
            <w:r>
              <w:t xml:space="preserve">Left-Right</w:t>
            </w:r>
          </w:p>
        </w:tc>
        <w:tc>
          <w:p>
            <w:pPr>
              <w:pStyle w:val="Compact"/>
              <w:jc w:val="right"/>
            </w:pPr>
            <w:r>
              <w:t xml:space="preserve">2.568</w:t>
            </w:r>
          </w:p>
        </w:tc>
        <w:tc>
          <w:p>
            <w:pPr>
              <w:pStyle w:val="Compact"/>
              <w:jc w:val="right"/>
            </w:pPr>
            <w:r>
              <w:t xml:space="preserve">18</w:t>
            </w:r>
          </w:p>
        </w:tc>
        <w:tc>
          <w:p>
            <w:pPr>
              <w:pStyle w:val="Compact"/>
              <w:jc w:val="right"/>
            </w:pPr>
            <w:r>
              <w:t xml:space="preserve">0.019</w:t>
            </w:r>
          </w:p>
        </w:tc>
        <w:tc>
          <w:p>
            <w:pPr>
              <w:pStyle w:val="Compact"/>
              <w:jc w:val="right"/>
            </w:pPr>
            <w:r>
              <w:t xml:space="preserve">0.060</w:t>
            </w:r>
          </w:p>
        </w:tc>
        <w:tc>
          <w:p>
            <w:pPr>
              <w:pStyle w:val="Compact"/>
              <w:jc w:val="left"/>
            </w:pPr>
            <w:r>
              <w:t xml:space="preserve">Left = Right</w:t>
            </w:r>
          </w:p>
        </w:tc>
      </w:tr>
      <w:tr>
        <w:tc>
          <w:p>
            <w:pPr>
              <w:pStyle w:val="Compact"/>
              <w:jc w:val="left"/>
            </w:pPr>
            <w:r>
              <w:t xml:space="preserve">Upper-Lower</w:t>
            </w:r>
          </w:p>
        </w:tc>
        <w:tc>
          <w:p>
            <w:pPr>
              <w:pStyle w:val="Compact"/>
              <w:jc w:val="right"/>
            </w:pPr>
            <w:r>
              <w:t xml:space="preserve">2.318</w:t>
            </w:r>
          </w:p>
        </w:tc>
        <w:tc>
          <w:p>
            <w:pPr>
              <w:pStyle w:val="Compact"/>
              <w:jc w:val="right"/>
            </w:pPr>
            <w:r>
              <w:t xml:space="preserve">18</w:t>
            </w:r>
          </w:p>
        </w:tc>
        <w:tc>
          <w:p>
            <w:pPr>
              <w:pStyle w:val="Compact"/>
              <w:jc w:val="right"/>
            </w:pPr>
            <w:r>
              <w:t xml:space="preserve">0.032</w:t>
            </w:r>
          </w:p>
        </w:tc>
        <w:tc>
          <w:p>
            <w:pPr>
              <w:pStyle w:val="Compact"/>
              <w:jc w:val="right"/>
            </w:pPr>
            <w:r>
              <w:t xml:space="preserve">0.097</w:t>
            </w:r>
          </w:p>
        </w:tc>
        <w:tc>
          <w:p>
            <w:pPr>
              <w:pStyle w:val="Compact"/>
              <w:jc w:val="left"/>
            </w:pPr>
            <w:r>
              <w:t xml:space="preserve">Upper = Lower</w:t>
            </w:r>
          </w:p>
        </w:tc>
      </w:tr>
      <w:tr>
        <w:tc>
          <w:p>
            <w:pPr>
              <w:pStyle w:val="Compact"/>
              <w:jc w:val="left"/>
            </w:pPr>
            <w:r>
              <w:t xml:space="preserve">Upper-Right</w:t>
            </w:r>
          </w:p>
        </w:tc>
        <w:tc>
          <w:p>
            <w:pPr>
              <w:pStyle w:val="Compact"/>
              <w:jc w:val="right"/>
            </w:pPr>
            <w:r>
              <w:t xml:space="preserve">2.158</w:t>
            </w:r>
          </w:p>
        </w:tc>
        <w:tc>
          <w:p>
            <w:pPr>
              <w:pStyle w:val="Compact"/>
              <w:jc w:val="right"/>
            </w:pPr>
            <w:r>
              <w:t xml:space="preserve">18</w:t>
            </w:r>
          </w:p>
        </w:tc>
        <w:tc>
          <w:p>
            <w:pPr>
              <w:pStyle w:val="Compact"/>
              <w:jc w:val="right"/>
            </w:pPr>
            <w:r>
              <w:t xml:space="preserve">0.045</w:t>
            </w:r>
          </w:p>
        </w:tc>
        <w:tc>
          <w:p>
            <w:pPr>
              <w:pStyle w:val="Compact"/>
              <w:jc w:val="right"/>
            </w:pPr>
            <w:r>
              <w:t xml:space="preserve">0.134</w:t>
            </w:r>
          </w:p>
        </w:tc>
        <w:tc>
          <w:p>
            <w:pPr>
              <w:pStyle w:val="Compact"/>
              <w:jc w:val="left"/>
            </w:pPr>
            <w:r>
              <w:t xml:space="preserve">Upper = Right</w:t>
            </w:r>
          </w:p>
        </w:tc>
      </w:tr>
      <w:tr>
        <w:tc>
          <w:p>
            <w:pPr>
              <w:pStyle w:val="Compact"/>
              <w:jc w:val="left"/>
            </w:pPr>
            <w:r>
              <w:t xml:space="preserve">Lower-Right</w:t>
            </w:r>
          </w:p>
        </w:tc>
        <w:tc>
          <w:p>
            <w:pPr>
              <w:pStyle w:val="Compact"/>
              <w:jc w:val="right"/>
            </w:pPr>
            <w:r>
              <w:t xml:space="preserve">0.521</w:t>
            </w:r>
          </w:p>
        </w:tc>
        <w:tc>
          <w:p>
            <w:pPr>
              <w:pStyle w:val="Compact"/>
              <w:jc w:val="right"/>
            </w:pPr>
            <w:r>
              <w:t xml:space="preserve">18</w:t>
            </w:r>
          </w:p>
        </w:tc>
        <w:tc>
          <w:p>
            <w:pPr>
              <w:pStyle w:val="Compact"/>
              <w:jc w:val="right"/>
            </w:pPr>
            <w:r>
              <w:t xml:space="preserve">0.609</w:t>
            </w:r>
          </w:p>
        </w:tc>
        <w:tc>
          <w:p>
            <w:pPr>
              <w:pStyle w:val="Compact"/>
              <w:jc w:val="right"/>
            </w:pPr>
            <w:r>
              <w:t xml:space="preserve">1.000</w:t>
            </w:r>
          </w:p>
        </w:tc>
        <w:tc>
          <w:p>
            <w:pPr>
              <w:pStyle w:val="Compact"/>
              <w:jc w:val="left"/>
            </w:pPr>
            <w:r>
              <w:t xml:space="preserve">Lower = Right</w:t>
            </w:r>
          </w:p>
        </w:tc>
      </w:tr>
      <w:tr>
        <w:tc>
          <w:p>
            <w:pPr>
              <w:pStyle w:val="Compact"/>
              <w:jc w:val="left"/>
            </w:pPr>
            <w:r>
              <w:t xml:space="preserve">Upper-Left</w:t>
            </w:r>
          </w:p>
        </w:tc>
        <w:tc>
          <w:p>
            <w:pPr>
              <w:pStyle w:val="Compact"/>
              <w:jc w:val="right"/>
            </w:pPr>
            <w:r>
              <w:t xml:space="preserve">0.392</w:t>
            </w:r>
          </w:p>
        </w:tc>
        <w:tc>
          <w:p>
            <w:pPr>
              <w:pStyle w:val="Compact"/>
              <w:jc w:val="right"/>
            </w:pPr>
            <w:r>
              <w:t xml:space="preserve">18</w:t>
            </w:r>
          </w:p>
        </w:tc>
        <w:tc>
          <w:p>
            <w:pPr>
              <w:pStyle w:val="Compact"/>
              <w:jc w:val="right"/>
            </w:pPr>
            <w:r>
              <w:t xml:space="preserve">0.700</w:t>
            </w:r>
          </w:p>
        </w:tc>
        <w:tc>
          <w:p>
            <w:pPr>
              <w:pStyle w:val="Compact"/>
              <w:jc w:val="right"/>
            </w:pPr>
            <w:r>
              <w:t xml:space="preserve">1.000</w:t>
            </w:r>
          </w:p>
        </w:tc>
        <w:tc>
          <w:p>
            <w:pPr>
              <w:pStyle w:val="Compact"/>
              <w:jc w:val="left"/>
            </w:pPr>
            <w:r>
              <w:t xml:space="preserve">Upper = Left</w:t>
            </w:r>
          </w:p>
        </w:tc>
      </w:tr>
    </w:tbl>
    <w:p>
      <w:pPr>
        <w:pStyle w:val="TableCaption"/>
      </w:pPr>
      <w:r>
        <w:t xml:space="preserve">Multiple comparisons for the interaction</w:t>
      </w:r>
    </w:p>
    <w:tbl>
      <w:tblPr>
        <w:tblStyle w:val="Table"/>
        <w:tblW w:type="pct" w:w="0.0"/>
        <w:tblLook w:firstRow="1" w:lastRow="0" w:firstColumn="0" w:lastColumn="0" w:noHBand="0" w:noVBand="0" w:val="0020"/>
        <w:tblCaption w:val="Multiple comparisons for the interaction"/>
      </w:tblPr>
      <w:tblGrid/>
      <w:tr>
        <w:tc>
          <w:p>
            <w:pPr>
              <w:pStyle w:val="Compact"/>
              <w:jc w:val="left"/>
            </w:pPr>
            <w:r>
              <w:t xml:space="preserve">factor</w:t>
            </w:r>
          </w:p>
        </w:tc>
        <w:tc>
          <w:p>
            <w:pPr>
              <w:pStyle w:val="Compact"/>
              <w:jc w:val="right"/>
            </w:pPr>
            <w:r>
              <w:t xml:space="preserve">df</w:t>
            </w:r>
          </w:p>
        </w:tc>
        <w:tc>
          <w:p>
            <w:pPr>
              <w:pStyle w:val="Compact"/>
              <w:jc w:val="right"/>
            </w:pPr>
            <w:r>
              <w:t xml:space="preserve">F</w:t>
            </w:r>
          </w:p>
        </w:tc>
        <w:tc>
          <w:p>
            <w:pPr>
              <w:pStyle w:val="Compact"/>
              <w:jc w:val="right"/>
            </w:pPr>
            <w:r>
              <w:t xml:space="preserve">p</w:t>
            </w:r>
          </w:p>
        </w:tc>
        <w:tc>
          <w:p>
            <w:pPr>
              <w:pStyle w:val="Compact"/>
              <w:jc w:val="left"/>
            </w:pPr>
            <w:r>
              <w:t xml:space="preserve">sig</w:t>
            </w:r>
          </w:p>
        </w:tc>
        <w:tc>
          <w:p>
            <w:pPr>
              <w:pStyle w:val="Compact"/>
              <w:jc w:val="right"/>
            </w:pPr>
            <w:r>
              <w:t xml:space="preserve">p.eta^2</w:t>
            </w:r>
          </w:p>
        </w:tc>
      </w:tr>
      <w:tr>
        <w:tc>
          <w:p>
            <w:pPr>
              <w:pStyle w:val="Compact"/>
              <w:jc w:val="left"/>
            </w:pPr>
            <w:r>
              <w:t xml:space="preserve">Locs at Glare</w:t>
            </w:r>
          </w:p>
        </w:tc>
        <w:tc>
          <w:p>
            <w:pPr>
              <w:pStyle w:val="Compact"/>
              <w:jc w:val="right"/>
            </w:pPr>
            <w:r>
              <w:t xml:space="preserve">2.667</w:t>
            </w:r>
          </w:p>
        </w:tc>
        <w:tc>
          <w:p>
            <w:pPr>
              <w:pStyle w:val="Compact"/>
              <w:jc w:val="right"/>
            </w:pPr>
            <w:r>
              <w:t xml:space="preserve">3.924</w:t>
            </w:r>
          </w:p>
        </w:tc>
        <w:tc>
          <w:p>
            <w:pPr>
              <w:pStyle w:val="Compact"/>
              <w:jc w:val="right"/>
            </w:pPr>
            <w:r>
              <w:t xml:space="preserve">0.017</w:t>
            </w:r>
          </w:p>
        </w:tc>
        <w:tc>
          <w:p>
            <w:pPr>
              <w:pStyle w:val="Compact"/>
              <w:jc w:val="left"/>
            </w:pPr>
            <w:r>
              <w:t xml:space="preserve">*</w:t>
            </w:r>
          </w:p>
        </w:tc>
        <w:tc>
          <w:p>
            <w:pPr>
              <w:pStyle w:val="Compact"/>
              <w:jc w:val="right"/>
            </w:pPr>
            <w:r>
              <w:t xml:space="preserve">0.179</w:t>
            </w:r>
          </w:p>
        </w:tc>
      </w:tr>
      <w:tr>
        <w:tc>
          <w:p>
            <w:pPr>
              <w:pStyle w:val="Compact"/>
              <w:jc w:val="left"/>
            </w:pPr>
            <w:r>
              <w:t xml:space="preserve">Locs at Control</w:t>
            </w:r>
          </w:p>
        </w:tc>
        <w:tc>
          <w:p>
            <w:pPr>
              <w:pStyle w:val="Compact"/>
              <w:jc w:val="right"/>
            </w:pPr>
            <w:r>
              <w:t xml:space="preserve">2.865</w:t>
            </w:r>
          </w:p>
        </w:tc>
        <w:tc>
          <w:p>
            <w:pPr>
              <w:pStyle w:val="Compact"/>
              <w:jc w:val="right"/>
            </w:pPr>
            <w:r>
              <w:t xml:space="preserve">1.392</w:t>
            </w:r>
          </w:p>
        </w:tc>
        <w:tc>
          <w:p>
            <w:pPr>
              <w:pStyle w:val="Compact"/>
              <w:jc w:val="right"/>
            </w:pPr>
            <w:r>
              <w:t xml:space="preserve">0.256</w:t>
            </w:r>
          </w:p>
        </w:tc>
        <w:tc>
          <w:p>
            <w:pPr>
              <w:pStyle w:val="Compact"/>
              <w:jc w:val="left"/>
            </w:pPr>
            <w:r>
              <w:t xml:space="preserve">ns</w:t>
            </w:r>
          </w:p>
        </w:tc>
        <w:tc>
          <w:p>
            <w:pPr>
              <w:pStyle w:val="Compact"/>
              <w:jc w:val="right"/>
            </w:pPr>
            <w:r>
              <w:t xml:space="preserve">0.072</w:t>
            </w:r>
          </w:p>
        </w:tc>
      </w:tr>
      <w:tr>
        <w:tc>
          <w:p>
            <w:pPr>
              <w:pStyle w:val="Compact"/>
              <w:jc w:val="left"/>
            </w:pPr>
            <w:r>
              <w:t xml:space="preserve">Pattern at Upper</w:t>
            </w:r>
          </w:p>
        </w:tc>
        <w:tc>
          <w:p>
            <w:pPr>
              <w:pStyle w:val="Compact"/>
              <w:jc w:val="right"/>
            </w:pPr>
            <w:r>
              <w:t xml:space="preserve">1.000</w:t>
            </w:r>
          </w:p>
        </w:tc>
        <w:tc>
          <w:p>
            <w:pPr>
              <w:pStyle w:val="Compact"/>
              <w:jc w:val="right"/>
            </w:pPr>
            <w:r>
              <w:t xml:space="preserve">0.011</w:t>
            </w:r>
          </w:p>
        </w:tc>
        <w:tc>
          <w:p>
            <w:pPr>
              <w:pStyle w:val="Compact"/>
              <w:jc w:val="right"/>
            </w:pPr>
            <w:r>
              <w:t xml:space="preserve">0.919</w:t>
            </w:r>
          </w:p>
        </w:tc>
        <w:tc>
          <w:p>
            <w:pPr>
              <w:pStyle w:val="Compact"/>
              <w:jc w:val="left"/>
            </w:pPr>
            <w:r>
              <w:t xml:space="preserve">ns</w:t>
            </w:r>
          </w:p>
        </w:tc>
        <w:tc>
          <w:p>
            <w:pPr>
              <w:pStyle w:val="Compact"/>
              <w:jc w:val="right"/>
            </w:pPr>
            <w:r>
              <w:t xml:space="preserve">0.001</w:t>
            </w:r>
          </w:p>
        </w:tc>
      </w:tr>
      <w:tr>
        <w:tc>
          <w:p>
            <w:pPr>
              <w:pStyle w:val="Compact"/>
              <w:jc w:val="left"/>
            </w:pPr>
            <w:r>
              <w:t xml:space="preserve">Pattern at Lower</w:t>
            </w:r>
          </w:p>
        </w:tc>
        <w:tc>
          <w:p>
            <w:pPr>
              <w:pStyle w:val="Compact"/>
              <w:jc w:val="right"/>
            </w:pPr>
            <w:r>
              <w:t xml:space="preserve">1.000</w:t>
            </w:r>
          </w:p>
        </w:tc>
        <w:tc>
          <w:p>
            <w:pPr>
              <w:pStyle w:val="Compact"/>
              <w:jc w:val="right"/>
            </w:pPr>
            <w:r>
              <w:t xml:space="preserve">3.090</w:t>
            </w:r>
          </w:p>
        </w:tc>
        <w:tc>
          <w:p>
            <w:pPr>
              <w:pStyle w:val="Compact"/>
              <w:jc w:val="right"/>
            </w:pPr>
            <w:r>
              <w:t xml:space="preserve">0.096</w:t>
            </w:r>
          </w:p>
        </w:tc>
        <w:tc>
          <w:p>
            <w:pPr>
              <w:pStyle w:val="Compact"/>
              <w:jc w:val="left"/>
            </w:pPr>
            <w:r>
              <w:t xml:space="preserve">+</w:t>
            </w:r>
          </w:p>
        </w:tc>
        <w:tc>
          <w:p>
            <w:pPr>
              <w:pStyle w:val="Compact"/>
              <w:jc w:val="right"/>
            </w:pPr>
            <w:r>
              <w:t xml:space="preserve">0.147</w:t>
            </w:r>
          </w:p>
        </w:tc>
      </w:tr>
      <w:tr>
        <w:tc>
          <w:p>
            <w:pPr>
              <w:pStyle w:val="Compact"/>
              <w:jc w:val="left"/>
            </w:pPr>
            <w:r>
              <w:t xml:space="preserve">Pattern at Left</w:t>
            </w:r>
          </w:p>
        </w:tc>
        <w:tc>
          <w:p>
            <w:pPr>
              <w:pStyle w:val="Compact"/>
              <w:jc w:val="right"/>
            </w:pPr>
            <w:r>
              <w:t xml:space="preserve">1.000</w:t>
            </w:r>
          </w:p>
        </w:tc>
        <w:tc>
          <w:p>
            <w:pPr>
              <w:pStyle w:val="Compact"/>
              <w:jc w:val="right"/>
            </w:pPr>
            <w:r>
              <w:t xml:space="preserve">4.016</w:t>
            </w:r>
          </w:p>
        </w:tc>
        <w:tc>
          <w:p>
            <w:pPr>
              <w:pStyle w:val="Compact"/>
              <w:jc w:val="right"/>
            </w:pPr>
            <w:r>
              <w:t xml:space="preserve">0.060</w:t>
            </w:r>
          </w:p>
        </w:tc>
        <w:tc>
          <w:p>
            <w:pPr>
              <w:pStyle w:val="Compact"/>
              <w:jc w:val="left"/>
            </w:pPr>
            <w:r>
              <w:t xml:space="preserve">+</w:t>
            </w:r>
          </w:p>
        </w:tc>
        <w:tc>
          <w:p>
            <w:pPr>
              <w:pStyle w:val="Compact"/>
              <w:jc w:val="right"/>
            </w:pPr>
            <w:r>
              <w:t xml:space="preserve">0.182</w:t>
            </w:r>
          </w:p>
        </w:tc>
      </w:tr>
      <w:tr>
        <w:tc>
          <w:p>
            <w:pPr>
              <w:pStyle w:val="Compact"/>
              <w:jc w:val="left"/>
            </w:pPr>
            <w:r>
              <w:t xml:space="preserve">Pattern at Right</w:t>
            </w:r>
          </w:p>
        </w:tc>
        <w:tc>
          <w:p>
            <w:pPr>
              <w:pStyle w:val="Compact"/>
              <w:jc w:val="right"/>
            </w:pPr>
            <w:r>
              <w:t xml:space="preserve">1.000</w:t>
            </w:r>
          </w:p>
        </w:tc>
        <w:tc>
          <w:p>
            <w:pPr>
              <w:pStyle w:val="Compact"/>
              <w:jc w:val="right"/>
            </w:pPr>
            <w:r>
              <w:t xml:space="preserve">4.216</w:t>
            </w:r>
          </w:p>
        </w:tc>
        <w:tc>
          <w:p>
            <w:pPr>
              <w:pStyle w:val="Compact"/>
              <w:jc w:val="right"/>
            </w:pPr>
            <w:r>
              <w:t xml:space="preserve">0.055</w:t>
            </w:r>
          </w:p>
        </w:tc>
        <w:tc>
          <w:p>
            <w:pPr>
              <w:pStyle w:val="Compact"/>
              <w:jc w:val="left"/>
            </w:pPr>
            <w:r>
              <w:t xml:space="preserve">+</w:t>
            </w:r>
          </w:p>
        </w:tc>
        <w:tc>
          <w:p>
            <w:pPr>
              <w:pStyle w:val="Compact"/>
              <w:jc w:val="right"/>
            </w:pPr>
            <w:r>
              <w:t xml:space="preserve">0.190</w:t>
            </w:r>
          </w:p>
        </w:tc>
      </w:tr>
    </w:tbl>
    <w:p>
      <w:pPr>
        <w:pStyle w:val="TableCaption"/>
      </w:pPr>
      <w:r>
        <w:t xml:space="preserve">ANOVA table for Late compornent</w:t>
      </w:r>
    </w:p>
    <w:tbl>
      <w:tblPr>
        <w:tblStyle w:val="Table"/>
        <w:tblW w:type="pct" w:w="0.0"/>
        <w:tblLook w:firstRow="1" w:lastRow="0" w:firstColumn="0" w:lastColumn="0" w:noHBand="0" w:noVBand="0" w:val="0020"/>
        <w:tblCaption w:val="ANOVA table for Late compornent"/>
      </w:tblPr>
      <w:tblGrid/>
      <w:tr>
        <w:tc>
          <w:p>
            <w:pPr>
              <w:pStyle w:val="Compact"/>
              <w:jc w:val="left"/>
            </w:pPr>
            <w:r>
              <w:t xml:space="preserve">factor</w:t>
            </w:r>
          </w:p>
        </w:tc>
        <w:tc>
          <w:p>
            <w:pPr>
              <w:pStyle w:val="Compact"/>
              <w:jc w:val="right"/>
            </w:pPr>
            <w:r>
              <w:t xml:space="preserve">df</w:t>
            </w:r>
          </w:p>
        </w:tc>
        <w:tc>
          <w:p>
            <w:pPr>
              <w:pStyle w:val="Compact"/>
              <w:jc w:val="right"/>
            </w:pPr>
            <w:r>
              <w:t xml:space="preserve">F</w:t>
            </w:r>
          </w:p>
        </w:tc>
        <w:tc>
          <w:p>
            <w:pPr>
              <w:pStyle w:val="Compact"/>
              <w:jc w:val="right"/>
            </w:pPr>
            <w:r>
              <w:t xml:space="preserve">p</w:t>
            </w:r>
          </w:p>
        </w:tc>
        <w:tc>
          <w:p>
            <w:pPr>
              <w:pStyle w:val="Compact"/>
              <w:jc w:val="left"/>
            </w:pPr>
            <w:r>
              <w:t xml:space="preserve">sig</w:t>
            </w:r>
          </w:p>
        </w:tc>
        <w:tc>
          <w:p>
            <w:pPr>
              <w:pStyle w:val="Compact"/>
              <w:jc w:val="right"/>
            </w:pPr>
            <w:r>
              <w:t xml:space="preserve">p.eta^2</w:t>
            </w:r>
          </w:p>
        </w:tc>
      </w:tr>
      <w:tr>
        <w:tc>
          <w:p>
            <w:pPr>
              <w:pStyle w:val="Compact"/>
              <w:jc w:val="left"/>
            </w:pPr>
            <w:r>
              <w:t xml:space="preserve">Locs</w:t>
            </w:r>
          </w:p>
        </w:tc>
        <w:tc>
          <w:p>
            <w:pPr>
              <w:pStyle w:val="Compact"/>
              <w:jc w:val="right"/>
            </w:pPr>
            <w:r>
              <w:t xml:space="preserve">2.128</w:t>
            </w:r>
          </w:p>
        </w:tc>
        <w:tc>
          <w:p>
            <w:pPr>
              <w:pStyle w:val="Compact"/>
              <w:jc w:val="right"/>
            </w:pPr>
            <w:r>
              <w:t xml:space="preserve">6.436</w:t>
            </w:r>
          </w:p>
        </w:tc>
        <w:tc>
          <w:p>
            <w:pPr>
              <w:pStyle w:val="Compact"/>
              <w:jc w:val="right"/>
            </w:pPr>
            <w:r>
              <w:t xml:space="preserve">0.003</w:t>
            </w:r>
          </w:p>
        </w:tc>
        <w:tc>
          <w:p>
            <w:pPr>
              <w:pStyle w:val="Compact"/>
              <w:jc w:val="left"/>
            </w:pPr>
            <w:r>
              <w:t xml:space="preserve">**</w:t>
            </w:r>
          </w:p>
        </w:tc>
        <w:tc>
          <w:p>
            <w:pPr>
              <w:pStyle w:val="Compact"/>
              <w:jc w:val="right"/>
            </w:pPr>
            <w:r>
              <w:t xml:space="preserve">0.263</w:t>
            </w:r>
          </w:p>
        </w:tc>
      </w:tr>
      <w:tr>
        <w:tc>
          <w:p>
            <w:pPr>
              <w:pStyle w:val="Compact"/>
              <w:jc w:val="left"/>
            </w:pPr>
            <w:r>
              <w:t xml:space="preserve">Pattern</w:t>
            </w:r>
          </w:p>
        </w:tc>
        <w:tc>
          <w:p>
            <w:pPr>
              <w:pStyle w:val="Compact"/>
              <w:jc w:val="right"/>
            </w:pPr>
            <w:r>
              <w:t xml:space="preserve">1.000</w:t>
            </w:r>
          </w:p>
        </w:tc>
        <w:tc>
          <w:p>
            <w:pPr>
              <w:pStyle w:val="Compact"/>
              <w:jc w:val="right"/>
            </w:pPr>
            <w:r>
              <w:t xml:space="preserve">0.276</w:t>
            </w:r>
          </w:p>
        </w:tc>
        <w:tc>
          <w:p>
            <w:pPr>
              <w:pStyle w:val="Compact"/>
              <w:jc w:val="right"/>
            </w:pPr>
            <w:r>
              <w:t xml:space="preserve">0.605</w:t>
            </w:r>
          </w:p>
        </w:tc>
        <w:tc>
          <w:p>
            <w:pPr>
              <w:pStyle w:val="Compact"/>
              <w:jc w:val="left"/>
            </w:pPr>
            <w:r>
              <w:t xml:space="preserve">ns</w:t>
            </w:r>
          </w:p>
        </w:tc>
        <w:tc>
          <w:p>
            <w:pPr>
              <w:pStyle w:val="Compact"/>
              <w:jc w:val="right"/>
            </w:pPr>
            <w:r>
              <w:t xml:space="preserve">0.015</w:t>
            </w:r>
          </w:p>
        </w:tc>
      </w:tr>
      <w:tr>
        <w:tc>
          <w:p>
            <w:pPr>
              <w:pStyle w:val="Compact"/>
              <w:jc w:val="left"/>
            </w:pPr>
            <w:r>
              <w:t xml:space="preserve">Locs x Pattern</w:t>
            </w:r>
          </w:p>
        </w:tc>
        <w:tc>
          <w:p>
            <w:pPr>
              <w:pStyle w:val="Compact"/>
              <w:jc w:val="right"/>
            </w:pPr>
            <w:r>
              <w:t xml:space="preserve">2.983</w:t>
            </w:r>
          </w:p>
        </w:tc>
        <w:tc>
          <w:p>
            <w:pPr>
              <w:pStyle w:val="Compact"/>
              <w:jc w:val="right"/>
            </w:pPr>
            <w:r>
              <w:t xml:space="preserve">2.883</w:t>
            </w:r>
          </w:p>
        </w:tc>
        <w:tc>
          <w:p>
            <w:pPr>
              <w:pStyle w:val="Compact"/>
              <w:jc w:val="right"/>
            </w:pPr>
            <w:r>
              <w:t xml:space="preserve">0.044</w:t>
            </w:r>
          </w:p>
        </w:tc>
        <w:tc>
          <w:p>
            <w:pPr>
              <w:pStyle w:val="Compact"/>
              <w:jc w:val="left"/>
            </w:pPr>
            <w:r>
              <w:t xml:space="preserve">*</w:t>
            </w:r>
          </w:p>
        </w:tc>
        <w:tc>
          <w:p>
            <w:pPr>
              <w:pStyle w:val="Compact"/>
              <w:jc w:val="right"/>
            </w:pPr>
            <w:r>
              <w:t xml:space="preserve">0.138</w:t>
            </w:r>
          </w:p>
        </w:tc>
      </w:tr>
    </w:tbl>
    <w:p>
      <w:pPr>
        <w:pStyle w:val="TableCaption"/>
      </w:pPr>
      <w:r>
        <w:t xml:space="preserve">Multiple comparisons for the interaction</w:t>
      </w:r>
    </w:p>
    <w:tbl>
      <w:tblPr>
        <w:tblStyle w:val="Table"/>
        <w:tblW w:type="pct" w:w="0.0"/>
        <w:tblLook w:firstRow="1" w:lastRow="0" w:firstColumn="0" w:lastColumn="0" w:noHBand="0" w:noVBand="0" w:val="0020"/>
        <w:tblCaption w:val="Multiple comparisons for the interaction"/>
      </w:tblPr>
      <w:tblGrid/>
      <w:tr>
        <w:tc>
          <w:p>
            <w:pPr>
              <w:pStyle w:val="Compact"/>
              <w:jc w:val="left"/>
            </w:pPr>
            <w:r>
              <w:t xml:space="preserve">factor</w:t>
            </w:r>
          </w:p>
        </w:tc>
        <w:tc>
          <w:p>
            <w:pPr>
              <w:pStyle w:val="Compact"/>
              <w:jc w:val="right"/>
            </w:pPr>
            <w:r>
              <w:t xml:space="preserve">df</w:t>
            </w:r>
          </w:p>
        </w:tc>
        <w:tc>
          <w:p>
            <w:pPr>
              <w:pStyle w:val="Compact"/>
              <w:jc w:val="right"/>
            </w:pPr>
            <w:r>
              <w:t xml:space="preserve">F</w:t>
            </w:r>
          </w:p>
        </w:tc>
        <w:tc>
          <w:p>
            <w:pPr>
              <w:pStyle w:val="Compact"/>
              <w:jc w:val="right"/>
            </w:pPr>
            <w:r>
              <w:t xml:space="preserve">p</w:t>
            </w:r>
          </w:p>
        </w:tc>
        <w:tc>
          <w:p>
            <w:pPr>
              <w:pStyle w:val="Compact"/>
              <w:jc w:val="left"/>
            </w:pPr>
            <w:r>
              <w:t xml:space="preserve">sig</w:t>
            </w:r>
          </w:p>
        </w:tc>
        <w:tc>
          <w:p>
            <w:pPr>
              <w:pStyle w:val="Compact"/>
              <w:jc w:val="right"/>
            </w:pPr>
            <w:r>
              <w:t xml:space="preserve">p.eta^2</w:t>
            </w:r>
          </w:p>
        </w:tc>
      </w:tr>
      <w:tr>
        <w:tc>
          <w:p>
            <w:pPr>
              <w:pStyle w:val="Compact"/>
              <w:jc w:val="left"/>
            </w:pPr>
            <w:r>
              <w:t xml:space="preserve">Locs at Glare</w:t>
            </w:r>
          </w:p>
        </w:tc>
        <w:tc>
          <w:p>
            <w:pPr>
              <w:pStyle w:val="Compact"/>
              <w:jc w:val="right"/>
            </w:pPr>
            <w:r>
              <w:t xml:space="preserve">2.293</w:t>
            </w:r>
          </w:p>
        </w:tc>
        <w:tc>
          <w:p>
            <w:pPr>
              <w:pStyle w:val="Compact"/>
              <w:jc w:val="right"/>
            </w:pPr>
            <w:r>
              <w:t xml:space="preserve">0.974</w:t>
            </w:r>
          </w:p>
        </w:tc>
        <w:tc>
          <w:p>
            <w:pPr>
              <w:pStyle w:val="Compact"/>
              <w:jc w:val="right"/>
            </w:pPr>
            <w:r>
              <w:t xml:space="preserve">0.396</w:t>
            </w:r>
          </w:p>
        </w:tc>
        <w:tc>
          <w:p>
            <w:pPr>
              <w:pStyle w:val="Compact"/>
              <w:jc w:val="left"/>
            </w:pPr>
            <w:r>
              <w:t xml:space="preserve">ns</w:t>
            </w:r>
          </w:p>
        </w:tc>
        <w:tc>
          <w:p>
            <w:pPr>
              <w:pStyle w:val="Compact"/>
              <w:jc w:val="right"/>
            </w:pPr>
            <w:r>
              <w:t xml:space="preserve">0.051</w:t>
            </w:r>
          </w:p>
        </w:tc>
      </w:tr>
      <w:tr>
        <w:tc>
          <w:p>
            <w:pPr>
              <w:pStyle w:val="Compact"/>
              <w:jc w:val="left"/>
            </w:pPr>
            <w:r>
              <w:t xml:space="preserve">Locs at Control</w:t>
            </w:r>
          </w:p>
        </w:tc>
        <w:tc>
          <w:p>
            <w:pPr>
              <w:pStyle w:val="Compact"/>
              <w:jc w:val="right"/>
            </w:pPr>
            <w:r>
              <w:t xml:space="preserve">2.533</w:t>
            </w:r>
          </w:p>
        </w:tc>
        <w:tc>
          <w:p>
            <w:pPr>
              <w:pStyle w:val="Compact"/>
              <w:jc w:val="right"/>
            </w:pPr>
            <w:r>
              <w:t xml:space="preserve">7.736</w:t>
            </w:r>
          </w:p>
        </w:tc>
        <w:tc>
          <w:p>
            <w:pPr>
              <w:pStyle w:val="Compact"/>
              <w:jc w:val="right"/>
            </w:pPr>
            <w:r>
              <w:t xml:space="preserve">0.001</w:t>
            </w:r>
          </w:p>
        </w:tc>
        <w:tc>
          <w:p>
            <w:pPr>
              <w:pStyle w:val="Compact"/>
              <w:jc w:val="left"/>
            </w:pPr>
            <w:r>
              <w:t xml:space="preserve">***</w:t>
            </w:r>
          </w:p>
        </w:tc>
        <w:tc>
          <w:p>
            <w:pPr>
              <w:pStyle w:val="Compact"/>
              <w:jc w:val="right"/>
            </w:pPr>
            <w:r>
              <w:t xml:space="preserve">0.301</w:t>
            </w:r>
          </w:p>
        </w:tc>
      </w:tr>
      <w:tr>
        <w:tc>
          <w:p>
            <w:pPr>
              <w:pStyle w:val="Compact"/>
              <w:jc w:val="left"/>
            </w:pPr>
            <w:r>
              <w:t xml:space="preserve">Pattern at Upper</w:t>
            </w:r>
          </w:p>
        </w:tc>
        <w:tc>
          <w:p>
            <w:pPr>
              <w:pStyle w:val="Compact"/>
              <w:jc w:val="right"/>
            </w:pPr>
            <w:r>
              <w:t xml:space="preserve">1.000</w:t>
            </w:r>
          </w:p>
        </w:tc>
        <w:tc>
          <w:p>
            <w:pPr>
              <w:pStyle w:val="Compact"/>
              <w:jc w:val="right"/>
            </w:pPr>
            <w:r>
              <w:t xml:space="preserve">6.847</w:t>
            </w:r>
          </w:p>
        </w:tc>
        <w:tc>
          <w:p>
            <w:pPr>
              <w:pStyle w:val="Compact"/>
              <w:jc w:val="right"/>
            </w:pPr>
            <w:r>
              <w:t xml:space="preserve">0.017</w:t>
            </w:r>
          </w:p>
        </w:tc>
        <w:tc>
          <w:p>
            <w:pPr>
              <w:pStyle w:val="Compact"/>
              <w:jc w:val="left"/>
            </w:pPr>
            <w:r>
              <w:t xml:space="preserve">*</w:t>
            </w:r>
          </w:p>
        </w:tc>
        <w:tc>
          <w:p>
            <w:pPr>
              <w:pStyle w:val="Compact"/>
              <w:jc w:val="right"/>
            </w:pPr>
            <w:r>
              <w:t xml:space="preserve">0.276</w:t>
            </w:r>
          </w:p>
        </w:tc>
      </w:tr>
      <w:tr>
        <w:tc>
          <w:p>
            <w:pPr>
              <w:pStyle w:val="Compact"/>
              <w:jc w:val="left"/>
            </w:pPr>
            <w:r>
              <w:t xml:space="preserve">Pattern at Lower</w:t>
            </w:r>
          </w:p>
        </w:tc>
        <w:tc>
          <w:p>
            <w:pPr>
              <w:pStyle w:val="Compact"/>
              <w:jc w:val="right"/>
            </w:pPr>
            <w:r>
              <w:t xml:space="preserve">1.000</w:t>
            </w:r>
          </w:p>
        </w:tc>
        <w:tc>
          <w:p>
            <w:pPr>
              <w:pStyle w:val="Compact"/>
              <w:jc w:val="right"/>
            </w:pPr>
            <w:r>
              <w:t xml:space="preserve">0.130</w:t>
            </w:r>
          </w:p>
        </w:tc>
        <w:tc>
          <w:p>
            <w:pPr>
              <w:pStyle w:val="Compact"/>
              <w:jc w:val="right"/>
            </w:pPr>
            <w:r>
              <w:t xml:space="preserve">0.723</w:t>
            </w:r>
          </w:p>
        </w:tc>
        <w:tc>
          <w:p>
            <w:pPr>
              <w:pStyle w:val="Compact"/>
              <w:jc w:val="left"/>
            </w:pPr>
            <w:r>
              <w:t xml:space="preserve">ns</w:t>
            </w:r>
          </w:p>
        </w:tc>
        <w:tc>
          <w:p>
            <w:pPr>
              <w:pStyle w:val="Compact"/>
              <w:jc w:val="right"/>
            </w:pPr>
            <w:r>
              <w:t xml:space="preserve">0.007</w:t>
            </w:r>
          </w:p>
        </w:tc>
      </w:tr>
      <w:tr>
        <w:tc>
          <w:p>
            <w:pPr>
              <w:pStyle w:val="Compact"/>
              <w:jc w:val="left"/>
            </w:pPr>
            <w:r>
              <w:t xml:space="preserve">Pattern at Left</w:t>
            </w:r>
          </w:p>
        </w:tc>
        <w:tc>
          <w:p>
            <w:pPr>
              <w:pStyle w:val="Compact"/>
              <w:jc w:val="right"/>
            </w:pPr>
            <w:r>
              <w:t xml:space="preserve">1.000</w:t>
            </w:r>
          </w:p>
        </w:tc>
        <w:tc>
          <w:p>
            <w:pPr>
              <w:pStyle w:val="Compact"/>
              <w:jc w:val="right"/>
            </w:pPr>
            <w:r>
              <w:t xml:space="preserve">0.466</w:t>
            </w:r>
          </w:p>
        </w:tc>
        <w:tc>
          <w:p>
            <w:pPr>
              <w:pStyle w:val="Compact"/>
              <w:jc w:val="right"/>
            </w:pPr>
            <w:r>
              <w:t xml:space="preserve">0.503</w:t>
            </w:r>
          </w:p>
        </w:tc>
        <w:tc>
          <w:p>
            <w:pPr>
              <w:pStyle w:val="Compact"/>
              <w:jc w:val="left"/>
            </w:pPr>
            <w:r>
              <w:t xml:space="preserve">ns</w:t>
            </w:r>
          </w:p>
        </w:tc>
        <w:tc>
          <w:p>
            <w:pPr>
              <w:pStyle w:val="Compact"/>
              <w:jc w:val="right"/>
            </w:pPr>
            <w:r>
              <w:t xml:space="preserve">0.025</w:t>
            </w:r>
          </w:p>
        </w:tc>
      </w:tr>
      <w:tr>
        <w:tc>
          <w:p>
            <w:pPr>
              <w:pStyle w:val="Compact"/>
              <w:jc w:val="left"/>
            </w:pPr>
            <w:r>
              <w:t xml:space="preserve">Pattern at Right</w:t>
            </w:r>
          </w:p>
        </w:tc>
        <w:tc>
          <w:p>
            <w:pPr>
              <w:pStyle w:val="Compact"/>
              <w:jc w:val="right"/>
            </w:pPr>
            <w:r>
              <w:t xml:space="preserve">1.000</w:t>
            </w:r>
          </w:p>
        </w:tc>
        <w:tc>
          <w:p>
            <w:pPr>
              <w:pStyle w:val="Compact"/>
              <w:jc w:val="right"/>
            </w:pPr>
            <w:r>
              <w:t xml:space="preserve">0.798</w:t>
            </w:r>
          </w:p>
        </w:tc>
        <w:tc>
          <w:p>
            <w:pPr>
              <w:pStyle w:val="Compact"/>
              <w:jc w:val="right"/>
            </w:pPr>
            <w:r>
              <w:t xml:space="preserve">0.384</w:t>
            </w:r>
          </w:p>
        </w:tc>
        <w:tc>
          <w:p>
            <w:pPr>
              <w:pStyle w:val="Compact"/>
              <w:jc w:val="left"/>
            </w:pPr>
            <w:r>
              <w:t xml:space="preserve">ns</w:t>
            </w:r>
          </w:p>
        </w:tc>
        <w:tc>
          <w:p>
            <w:pPr>
              <w:pStyle w:val="Compact"/>
              <w:jc w:val="right"/>
            </w:pPr>
            <w:r>
              <w:t xml:space="preserve">0.042</w:t>
            </w:r>
          </w:p>
        </w:tc>
      </w:tr>
    </w:tbl>
    <w:p>
      <w:pPr>
        <w:pStyle w:val="TableCaption"/>
      </w:pPr>
      <w:r>
        <w:t xml:space="preserve">Multiple comparisons for the interaction</w:t>
      </w:r>
    </w:p>
    <w:tbl>
      <w:tblPr>
        <w:tblStyle w:val="Table"/>
        <w:tblW w:type="pct" w:w="0.0"/>
        <w:tblLook w:firstRow="1" w:lastRow="0" w:firstColumn="0" w:lastColumn="0" w:noHBand="0" w:noVBand="0" w:val="0020"/>
        <w:tblCaption w:val="Multiple comparisons for the interaction"/>
      </w:tblPr>
      <w:tblGrid/>
      <w:tr>
        <w:tc>
          <w:p>
            <w:pPr>
              <w:pStyle w:val="Compact"/>
              <w:jc w:val="left"/>
            </w:pPr>
            <w:r>
              <w:t xml:space="preserve">pair</w:t>
            </w:r>
          </w:p>
        </w:tc>
        <w:tc>
          <w:p>
            <w:pPr>
              <w:pStyle w:val="Compact"/>
              <w:jc w:val="right"/>
            </w:pPr>
            <w:r>
              <w:t xml:space="preserve">t</w:t>
            </w:r>
          </w:p>
        </w:tc>
        <w:tc>
          <w:p>
            <w:pPr>
              <w:pStyle w:val="Compact"/>
              <w:jc w:val="right"/>
            </w:pPr>
            <w:r>
              <w:t xml:space="preserve">df</w:t>
            </w:r>
          </w:p>
        </w:tc>
        <w:tc>
          <w:p>
            <w:pPr>
              <w:pStyle w:val="Compact"/>
              <w:jc w:val="right"/>
            </w:pPr>
            <w:r>
              <w:t xml:space="preserve">p</w:t>
            </w:r>
          </w:p>
        </w:tc>
        <w:tc>
          <w:p>
            <w:pPr>
              <w:pStyle w:val="Compact"/>
              <w:jc w:val="right"/>
            </w:pPr>
            <w:r>
              <w:t xml:space="preserve">adj.p</w:t>
            </w:r>
          </w:p>
        </w:tc>
        <w:tc>
          <w:p>
            <w:pPr>
              <w:pStyle w:val="Compact"/>
              <w:jc w:val="left"/>
            </w:pPr>
            <w:r>
              <w:t xml:space="preserve">sig</w:t>
            </w:r>
          </w:p>
        </w:tc>
      </w:tr>
      <w:tr>
        <w:tc>
          <w:p>
            <w:pPr>
              <w:pStyle w:val="Compact"/>
              <w:jc w:val="left"/>
            </w:pPr>
            <w:r>
              <w:t xml:space="preserve">Upper-Left</w:t>
            </w:r>
          </w:p>
        </w:tc>
        <w:tc>
          <w:p>
            <w:pPr>
              <w:pStyle w:val="Compact"/>
              <w:jc w:val="right"/>
            </w:pPr>
            <w:r>
              <w:t xml:space="preserve">4.091</w:t>
            </w:r>
          </w:p>
        </w:tc>
        <w:tc>
          <w:p>
            <w:pPr>
              <w:pStyle w:val="Compact"/>
              <w:jc w:val="right"/>
            </w:pPr>
            <w:r>
              <w:t xml:space="preserve">18</w:t>
            </w:r>
          </w:p>
        </w:tc>
        <w:tc>
          <w:p>
            <w:pPr>
              <w:pStyle w:val="Compact"/>
              <w:jc w:val="right"/>
            </w:pPr>
            <w:r>
              <w:t xml:space="preserve">0.001</w:t>
            </w:r>
          </w:p>
        </w:tc>
        <w:tc>
          <w:p>
            <w:pPr>
              <w:pStyle w:val="Compact"/>
              <w:jc w:val="right"/>
            </w:pPr>
            <w:r>
              <w:t xml:space="preserve">0.004</w:t>
            </w:r>
          </w:p>
        </w:tc>
        <w:tc>
          <w:p>
            <w:pPr>
              <w:pStyle w:val="Compact"/>
              <w:jc w:val="left"/>
            </w:pPr>
            <w:r>
              <w:t xml:space="preserve">Upper &gt; Left *</w:t>
            </w:r>
          </w:p>
        </w:tc>
      </w:tr>
      <w:tr>
        <w:tc>
          <w:p>
            <w:pPr>
              <w:pStyle w:val="Compact"/>
              <w:jc w:val="left"/>
            </w:pPr>
            <w:r>
              <w:t xml:space="preserve">Upper-Lower</w:t>
            </w:r>
          </w:p>
        </w:tc>
        <w:tc>
          <w:p>
            <w:pPr>
              <w:pStyle w:val="Compact"/>
              <w:jc w:val="right"/>
            </w:pPr>
            <w:r>
              <w:t xml:space="preserve">2.806</w:t>
            </w:r>
          </w:p>
        </w:tc>
        <w:tc>
          <w:p>
            <w:pPr>
              <w:pStyle w:val="Compact"/>
              <w:jc w:val="right"/>
            </w:pPr>
            <w:r>
              <w:t xml:space="preserve">18</w:t>
            </w:r>
          </w:p>
        </w:tc>
        <w:tc>
          <w:p>
            <w:pPr>
              <w:pStyle w:val="Compact"/>
              <w:jc w:val="right"/>
            </w:pPr>
            <w:r>
              <w:t xml:space="preserve">0.012</w:t>
            </w:r>
          </w:p>
        </w:tc>
        <w:tc>
          <w:p>
            <w:pPr>
              <w:pStyle w:val="Compact"/>
              <w:jc w:val="right"/>
            </w:pPr>
            <w:r>
              <w:t xml:space="preserve">0.035</w:t>
            </w:r>
          </w:p>
        </w:tc>
        <w:tc>
          <w:p>
            <w:pPr>
              <w:pStyle w:val="Compact"/>
              <w:jc w:val="left"/>
            </w:pPr>
            <w:r>
              <w:t xml:space="preserve">Upper &gt; Lower *</w:t>
            </w:r>
          </w:p>
        </w:tc>
      </w:tr>
      <w:tr>
        <w:tc>
          <w:p>
            <w:pPr>
              <w:pStyle w:val="Compact"/>
              <w:jc w:val="left"/>
            </w:pPr>
            <w:r>
              <w:t xml:space="preserve">Upper-Right</w:t>
            </w:r>
          </w:p>
        </w:tc>
        <w:tc>
          <w:p>
            <w:pPr>
              <w:pStyle w:val="Compact"/>
              <w:jc w:val="right"/>
            </w:pPr>
            <w:r>
              <w:t xml:space="preserve">2.382</w:t>
            </w:r>
          </w:p>
        </w:tc>
        <w:tc>
          <w:p>
            <w:pPr>
              <w:pStyle w:val="Compact"/>
              <w:jc w:val="right"/>
            </w:pPr>
            <w:r>
              <w:t xml:space="preserve">18</w:t>
            </w:r>
          </w:p>
        </w:tc>
        <w:tc>
          <w:p>
            <w:pPr>
              <w:pStyle w:val="Compact"/>
              <w:jc w:val="right"/>
            </w:pPr>
            <w:r>
              <w:t xml:space="preserve">0.028</w:t>
            </w:r>
          </w:p>
        </w:tc>
        <w:tc>
          <w:p>
            <w:pPr>
              <w:pStyle w:val="Compact"/>
              <w:jc w:val="right"/>
            </w:pPr>
            <w:r>
              <w:t xml:space="preserve">0.085</w:t>
            </w:r>
          </w:p>
        </w:tc>
        <w:tc>
          <w:p>
            <w:pPr>
              <w:pStyle w:val="Compact"/>
              <w:jc w:val="left"/>
            </w:pPr>
            <w:r>
              <w:t xml:space="preserve">Upper = Right</w:t>
            </w:r>
          </w:p>
        </w:tc>
      </w:tr>
      <w:tr>
        <w:tc>
          <w:p>
            <w:pPr>
              <w:pStyle w:val="Compact"/>
              <w:jc w:val="left"/>
            </w:pPr>
            <w:r>
              <w:t xml:space="preserve">Left-Right</w:t>
            </w:r>
          </w:p>
        </w:tc>
        <w:tc>
          <w:p>
            <w:pPr>
              <w:pStyle w:val="Compact"/>
              <w:jc w:val="right"/>
            </w:pPr>
            <w:r>
              <w:t xml:space="preserve">1.825</w:t>
            </w:r>
          </w:p>
        </w:tc>
        <w:tc>
          <w:p>
            <w:pPr>
              <w:pStyle w:val="Compact"/>
              <w:jc w:val="right"/>
            </w:pPr>
            <w:r>
              <w:t xml:space="preserve">18</w:t>
            </w:r>
          </w:p>
        </w:tc>
        <w:tc>
          <w:p>
            <w:pPr>
              <w:pStyle w:val="Compact"/>
              <w:jc w:val="right"/>
            </w:pPr>
            <w:r>
              <w:t xml:space="preserve">0.085</w:t>
            </w:r>
          </w:p>
        </w:tc>
        <w:tc>
          <w:p>
            <w:pPr>
              <w:pStyle w:val="Compact"/>
              <w:jc w:val="right"/>
            </w:pPr>
            <w:r>
              <w:t xml:space="preserve">0.254</w:t>
            </w:r>
          </w:p>
        </w:tc>
        <w:tc>
          <w:p>
            <w:pPr>
              <w:pStyle w:val="Compact"/>
              <w:jc w:val="left"/>
            </w:pPr>
            <w:r>
              <w:t xml:space="preserve">Left = Right</w:t>
            </w:r>
          </w:p>
        </w:tc>
      </w:tr>
      <w:tr>
        <w:tc>
          <w:p>
            <w:pPr>
              <w:pStyle w:val="Compact"/>
              <w:jc w:val="left"/>
            </w:pPr>
            <w:r>
              <w:t xml:space="preserve">Lower-Right</w:t>
            </w:r>
          </w:p>
        </w:tc>
        <w:tc>
          <w:p>
            <w:pPr>
              <w:pStyle w:val="Compact"/>
              <w:jc w:val="right"/>
            </w:pPr>
            <w:r>
              <w:t xml:space="preserve">1.761</w:t>
            </w:r>
          </w:p>
        </w:tc>
        <w:tc>
          <w:p>
            <w:pPr>
              <w:pStyle w:val="Compact"/>
              <w:jc w:val="right"/>
            </w:pPr>
            <w:r>
              <w:t xml:space="preserve">18</w:t>
            </w:r>
          </w:p>
        </w:tc>
        <w:tc>
          <w:p>
            <w:pPr>
              <w:pStyle w:val="Compact"/>
              <w:jc w:val="right"/>
            </w:pPr>
            <w:r>
              <w:t xml:space="preserve">0.095</w:t>
            </w:r>
          </w:p>
        </w:tc>
        <w:tc>
          <w:p>
            <w:pPr>
              <w:pStyle w:val="Compact"/>
              <w:jc w:val="right"/>
            </w:pPr>
            <w:r>
              <w:t xml:space="preserve">0.254</w:t>
            </w:r>
          </w:p>
        </w:tc>
        <w:tc>
          <w:p>
            <w:pPr>
              <w:pStyle w:val="Compact"/>
              <w:jc w:val="left"/>
            </w:pPr>
            <w:r>
              <w:t xml:space="preserve">Lower = Right</w:t>
            </w:r>
          </w:p>
        </w:tc>
      </w:tr>
      <w:tr>
        <w:tc>
          <w:p>
            <w:pPr>
              <w:pStyle w:val="Compact"/>
              <w:jc w:val="left"/>
            </w:pPr>
            <w:r>
              <w:t xml:space="preserve">Lower-Left</w:t>
            </w:r>
          </w:p>
        </w:tc>
        <w:tc>
          <w:p>
            <w:pPr>
              <w:pStyle w:val="Compact"/>
              <w:jc w:val="right"/>
            </w:pPr>
            <w:r>
              <w:t xml:space="preserve">0.081</w:t>
            </w:r>
          </w:p>
        </w:tc>
        <w:tc>
          <w:p>
            <w:pPr>
              <w:pStyle w:val="Compact"/>
              <w:jc w:val="right"/>
            </w:pPr>
            <w:r>
              <w:t xml:space="preserve">18</w:t>
            </w:r>
          </w:p>
        </w:tc>
        <w:tc>
          <w:p>
            <w:pPr>
              <w:pStyle w:val="Compact"/>
              <w:jc w:val="right"/>
            </w:pPr>
            <w:r>
              <w:t xml:space="preserve">0.936</w:t>
            </w:r>
          </w:p>
        </w:tc>
        <w:tc>
          <w:p>
            <w:pPr>
              <w:pStyle w:val="Compact"/>
              <w:jc w:val="right"/>
            </w:pPr>
            <w:r>
              <w:t xml:space="preserve">0.936</w:t>
            </w:r>
          </w:p>
        </w:tc>
        <w:tc>
          <w:p>
            <w:pPr>
              <w:pStyle w:val="Compact"/>
              <w:jc w:val="left"/>
            </w:pPr>
            <w:r>
              <w:t xml:space="preserve">Lower = Left</w:t>
            </w:r>
          </w:p>
        </w:tc>
      </w:tr>
    </w:tbl>
    <w:bookmarkEnd w:id="30"/>
    <w:bookmarkStart w:id="31"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the averaged pupil size from 0s to 4s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0.388,</w:t>
      </w:r>
      <w:r>
        <w:t xml:space="preserve"> </w:t>
      </w:r>
      <m:oMath>
        <m:r>
          <m:t>B</m:t>
        </m:r>
        <m:sSub>
          <m:e>
            <m:r>
              <m:t>F</m:t>
            </m:r>
          </m:e>
          <m:sub>
            <m:r>
              <m:t>10</m:t>
            </m:r>
          </m:sub>
        </m:sSub>
      </m:oMath>
      <w:r>
        <w:t xml:space="preserve"> </w:t>
      </w:r>
      <w:r>
        <w:t xml:space="preserve">= 7.36)</w:t>
      </w:r>
    </w:p>
    <w:p>
      <w:pPr>
        <w:pStyle w:val="BodyText"/>
      </w:pPr>
      <w:r>
        <w:t xml:space="preserve">We first determined the MPCL (mean =</w:t>
      </w:r>
      <w:r>
        <w:t xml:space="preserve"> </w:t>
      </w:r>
      <w:r>
        <w:t xml:space="preserve">0.731s, S.D. = 0.361s)</w:t>
      </w:r>
      <w:r>
        <w:t xml:space="preserve"> </w:t>
      </w:r>
      <w:r>
        <w:t xml:space="preserve">to calculate the early and late components of pupillary response (see Method and Supplementary Fig. 1). For the center condition, there was significant differences of early and late components of pupil response between glare and halo stimulus (Fig. 3A)</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0.379,</w:t>
      </w:r>
      <w:r>
        <w:t xml:space="preserve"> </w:t>
      </w:r>
      <m:oMath>
        <m:r>
          <m:t>B</m:t>
        </m:r>
        <m:sSub>
          <m:e>
            <m:r>
              <m:t>F</m:t>
            </m:r>
          </m:e>
          <m:sub>
            <m:r>
              <m:t>10</m:t>
            </m:r>
          </m:sub>
        </m:sSub>
      </m:oMath>
      <w:r>
        <w:t xml:space="preserve"> </w:t>
      </w:r>
      <w:r>
        <w:t xml:space="preserve">= 2.372;</w:t>
      </w:r>
      <w:r>
        <w:t xml:space="preserve"> </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2.076).</w:t>
      </w:r>
    </w:p>
    <w:p>
      <w:pPr>
        <w:pStyle w:val="BodyText"/>
      </w:pPr>
      <w:r>
        <w:t xml:space="preserve">In the early component for the periphery condition (Fig. 3B), a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5.839,</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2.819).</w:t>
      </w:r>
      <w:r>
        <w:t xml:space="preserve"> </w:t>
      </w:r>
      <w:r>
        <w:t xml:space="preserve">However, the post-hoc multiple comparisons for the VF locations showed that any pairs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0.222).</w:t>
      </w:r>
    </w:p>
    <w:p>
      <w:pPr>
        <w:pStyle w:val="BodyText"/>
      </w:pPr>
      <w:r>
        <w:t xml:space="preserve">In the late component (the AUC) for the periphery condition, a two-way repeated measures ANOVA revealed a significant main effect on the VF location and pattern x VF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70.521;</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1.341).</w:t>
      </w:r>
      <w:r>
        <w:t xml:space="preserve"> </w:t>
      </w:r>
      <w:r>
        <w:t xml:space="preserve">Most importantly, the post-hoc multiple comparisons for the interaction showed that the AUC for the glare illusion was significantly smaller than that in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Since the AUC was defined as integral value (see Method) from the PLR to stimulus offset, the smaller AUC indicates the slow recovery of pupil dilation toward the baseline pupil size. The following multiple comparisons for the VFs showed that the UVF produces the larger AUC than the left and Right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 for upper vs. lower;</w:t>
      </w:r>
      <w:r>
        <w:t xml:space="preserve"> </w:t>
      </w:r>
      <m:oMath>
        <m:r>
          <m:t>t</m:t>
        </m:r>
      </m:oMath>
      <w:r>
        <w:t xml:space="preserve">(18) =</w:t>
      </w:r>
      <w:r>
        <w:t xml:space="preserve"> </w:t>
      </w:r>
      <w:r>
        <w:t xml:space="preserve">1.825,</w:t>
      </w:r>
      <w:r>
        <w:t xml:space="preserve"> </w:t>
      </w:r>
      <m:oMath>
        <m:r>
          <m:t>p</m:t>
        </m:r>
      </m:oMath>
      <w:r>
        <w:t xml:space="preserve"> </w:t>
      </w:r>
      <w:r>
        <w:t xml:space="preserve">= 0.254 for upper vs. right</w:t>
      </w:r>
      <w:r>
        <w:t xml:space="preserve"> </w:t>
      </w:r>
      <w:r>
        <w:t xml:space="preserve">)</w:t>
      </w:r>
      <w:r>
        <w:t xml:space="preserve"> </w:t>
      </w:r>
      <w:r>
        <w:t xml:space="preserve">, in line with the previous studies</w:t>
      </w:r>
      <w:r>
        <w:t xml:space="preserve"> </w:t>
      </w:r>
      <w:r>
        <w:rPr>
          <w:bCs/>
          <w:b/>
        </w:rPr>
        <w:t xml:space="preserve">[13,15,17,18]</w:t>
      </w:r>
      <w:r>
        <w:t xml:space="preserve">.</w:t>
      </w:r>
      <w:r>
        <w:t xml:space="preserve"> </w:t>
      </w:r>
      <w:r>
        <w:t xml:space="preserve">We also found a significant VF location effect on the AUC for the halo stimulus</w:t>
      </w:r>
      <w:r>
        <w:t xml:space="preserve"> </w:t>
      </w:r>
      <w:r>
        <w:t xml:space="preserve">(</w:t>
      </w:r>
      <m:oMath>
        <m:r>
          <m:t>F</m:t>
        </m:r>
      </m:oMath>
      <w:r>
        <w:t xml:space="preserve">(2.533,</w:t>
      </w:r>
      <w:r>
        <w:t xml:space="preserve"> </w:t>
      </w:r>
      <w:r>
        <w:t xml:space="preserve">45.596) =</w:t>
      </w:r>
      <w:r>
        <w:t xml:space="preserve"> </w:t>
      </w:r>
      <w:r>
        <w:t xml:space="preserve">7.736,</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0.301)</w:t>
      </w:r>
      <w:r>
        <w:t xml:space="preserve"> </w:t>
      </w:r>
      <w:r>
        <w:t xml:space="preserve">The post-hoc multiple comparisons for the VF location for the halo stimulus showed that the UVF produces the larger AUC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 for upper vs. lower;)</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2021-12-23T07:55:02Z</dcterms:created>
  <dcterms:modified xsi:type="dcterms:W3CDTF">2021-12-23T07:55:02Z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December, 2021</vt:lpwstr>
  </property>
  <property fmtid="{D5CDD505-2E9C-101B-9397-08002B2CF9AE}" pid="3" name="output">
    <vt:lpwstr>word_document</vt:lpwstr>
  </property>
  <property fmtid="{D5CDD505-2E9C-101B-9397-08002B2CF9AE}" pid="4" name="params">
    <vt:lpwstr/>
  </property>
</Properties>
</file>