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07</w:t>
      </w:r>
      <w:r>
        <w:t xml:space="preserve"> </w:t>
      </w:r>
      <w:r>
        <w:t xml:space="preserve">December,</w:t>
      </w:r>
      <w:r>
        <w:t xml:space="preserve"> </w:t>
      </w:r>
      <w:r>
        <w:t xml:space="preserve">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5" w:name="figure-2"/>
    <w:p>
      <w:pPr>
        <w:pStyle w:val="Heading2"/>
      </w:pPr>
      <w:r>
        <w:t xml:space="preserve">Figure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2-1.png" id="0"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2.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3.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4.png" id="0"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p>
    <w:bookmarkEnd w:id="25"/>
    <w:bookmarkStart w:id="30"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6"/>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2.png" id="0" name="Picture"/>
                    <pic:cNvPicPr>
                      <a:picLocks noChangeArrowheads="1" noChangeAspect="1"/>
                    </pic:cNvPicPr>
                  </pic:nvPicPr>
                  <pic:blipFill>
                    <a:blip r:embed="rId27"/>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3.png" id="0" name="Picture"/>
                    <pic:cNvPicPr>
                      <a:picLocks noChangeArrowheads="1" noChangeAspect="1"/>
                    </pic:cNvPicPr>
                  </pic:nvPicPr>
                  <pic:blipFill>
                    <a:blip r:embed="rId28"/>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4.png" id="0" name="Picture"/>
                    <pic:cNvPicPr>
                      <a:picLocks noChangeArrowheads="1" noChangeAspect="1"/>
                    </pic:cNvPicPr>
                  </pic:nvPicPr>
                  <pic:blipFill>
                    <a:blip r:embed="rId29"/>
                    <a:stretch>
                      <a:fillRect/>
                    </a:stretch>
                  </pic:blipFill>
                  <pic:spPr bwMode="auto">
                    <a:xfrm>
                      <a:off x="0" y="0"/>
                      <a:ext cx="5334000" cy="2051538"/>
                    </a:xfrm>
                    <a:prstGeom prst="rect">
                      <a:avLst/>
                    </a:prstGeom>
                    <a:noFill/>
                    <a:ln w="9525">
                      <a:noFill/>
                      <a:headEnd/>
                      <a:tailEnd/>
                    </a:ln>
                  </pic:spPr>
                </pic:pic>
              </a:graphicData>
            </a:graphic>
          </wp:inline>
        </w:drawing>
      </w:r>
    </w:p>
    <w:bookmarkEnd w:id="30"/>
    <w:bookmarkStart w:id="31" w:name="results"/>
    <w:p>
      <w:pPr>
        <w:pStyle w:val="Heading2"/>
      </w:pPr>
      <w:r>
        <w:t xml:space="preserve">Results</w:t>
      </w:r>
    </w:p>
    <w:p>
      <w:pPr>
        <w:pStyle w:val="FirstParagraph"/>
      </w:pPr>
      <w:r>
        <w:t xml:space="preserve">We presented the glare illusion and halo stimuli at one out of five VF locations (i.e., upper, lower, left, right, and center). As reported previously, enhanced pupil constriction in the Center condition was observed shown in Fig.2A</w:t>
      </w:r>
      <w:r>
        <w:t xml:space="preserve"> </w:t>
      </w:r>
      <w:r>
        <w:t xml:space="preserve">(</w:t>
      </w:r>
      <m:oMath>
        <m:r>
          <m:t>t</m:t>
        </m:r>
      </m:oMath>
      <w:r>
        <w:t xml:space="preserve">(17) =</w:t>
      </w:r>
      <w:r>
        <w:t xml:space="preserve"> </w:t>
      </w:r>
      <w:r>
        <w:t xml:space="preserve">-3.071,</w:t>
      </w:r>
      <w:r>
        <w:t xml:space="preserve"> </w:t>
      </w:r>
      <m:oMath>
        <m:r>
          <m:t>p</m:t>
        </m:r>
      </m:oMath>
      <w:r>
        <w:t xml:space="preserve"> </w:t>
      </w:r>
      <w:r>
        <w:t xml:space="preserve">= 0.007,</w:t>
      </w:r>
      <w:r>
        <w:t xml:space="preserve"> </w:t>
      </w:r>
      <w:r>
        <w:t xml:space="preserve">Cohen’s</w:t>
      </w:r>
      <w:r>
        <w:t xml:space="preserve"> </w:t>
      </w:r>
      <m:oMath>
        <m:sSub>
          <m:e>
            <m:r>
              <m:t>d</m:t>
            </m:r>
          </m:e>
          <m:sub>
            <m:r>
              <m:t>z</m:t>
            </m:r>
          </m:sub>
        </m:sSub>
      </m:oMath>
      <w:r>
        <w:t xml:space="preserve"> </w:t>
      </w:r>
      <w:r>
        <w:t xml:space="preserve">= 0.396,</w:t>
      </w:r>
      <w:r>
        <w:t xml:space="preserve"> </w:t>
      </w:r>
      <m:oMath>
        <m:r>
          <m:t>B</m:t>
        </m:r>
        <m:sSub>
          <m:e>
            <m:r>
              <m:t>F</m:t>
            </m:r>
          </m:e>
          <m:sub>
            <m:r>
              <m:t>10</m:t>
            </m:r>
          </m:sub>
        </m:sSub>
      </m:oMath>
      <w:r>
        <w:t xml:space="preserve"> </w:t>
      </w:r>
      <w:r>
        <w:t xml:space="preserve">= 7.178)</w:t>
      </w:r>
    </w:p>
    <w:p>
      <w:pPr>
        <w:pStyle w:val="BodyText"/>
      </w:pPr>
      <w:r>
        <w:t xml:space="preserve">To assess temporal component of papillary response, the early component corresponded to peak pupil constriction after stimulus onset and the late comportment which was defined by are under the curve (AUC) were calculated (see Method). In early component (Fig 3B), pupil constriction to the glare illusion was larger than control pattern as the previous analysis</w:t>
      </w:r>
      <w:r>
        <w:t xml:space="preserve"> </w:t>
      </w:r>
      <w:r>
        <w:t xml:space="preserve">The two-way repeated measures ANOVA revealed a significant main effect on the pattern and VF locations</w:t>
      </w:r>
      <w:r>
        <w:t xml:space="preserve"> </w:t>
      </w:r>
      <w:r>
        <w:t xml:space="preserve">(</w:t>
      </w:r>
      <m:oMath>
        <m:r>
          <m:t>F</m:t>
        </m:r>
      </m:oMath>
      <w:r>
        <w:t xml:space="preserve">(1,</w:t>
      </w:r>
      <w:r>
        <w:t xml:space="preserve"> </w:t>
      </w:r>
      <w:r>
        <w:t xml:space="preserve">17) =</w:t>
      </w:r>
      <w:r>
        <w:t xml:space="preserve"> </w:t>
      </w:r>
      <w:r>
        <w:t xml:space="preserve">0.036,</w:t>
      </w:r>
      <w:r>
        <w:t xml:space="preserve"> </w:t>
      </w:r>
      <w:r>
        <w:t xml:space="preserve">p = 0.852,</w:t>
      </w:r>
      <w:r>
        <w:t xml:space="preserve"> </w:t>
      </w:r>
      <m:oMath>
        <m:sSubSup>
          <m:e>
            <m:r>
              <m:t>η</m:t>
            </m:r>
          </m:e>
          <m:sub>
            <m:r>
              <m:t>p</m:t>
            </m:r>
          </m:sub>
          <m:sup>
            <m:r>
              <m:t>2</m:t>
            </m:r>
          </m:sup>
        </m:sSubSup>
      </m:oMath>
      <w:r>
        <w:t xml:space="preserve"> </w:t>
      </w:r>
      <w:r>
        <w:t xml:space="preserve">= 0.002;</w:t>
      </w:r>
      <w:r>
        <w:t xml:space="preserve"> </w:t>
      </w:r>
      <m:oMath>
        <m:r>
          <m:t>B</m:t>
        </m:r>
        <m:sSub>
          <m:e>
            <m:r>
              <m:t>F</m:t>
            </m:r>
          </m:e>
          <m:sub>
            <m:r>
              <m:t>10</m:t>
            </m:r>
          </m:sub>
        </m:sSub>
      </m:oMath>
      <w:r>
        <w:t xml:space="preserve"> </w:t>
      </w:r>
      <w:r>
        <w:t xml:space="preserve">= 0.181,</w:t>
      </w:r>
      <w:r>
        <w:t xml:space="preserve"> </w:t>
      </w:r>
      <m:oMath>
        <m:r>
          <m:t>F</m:t>
        </m:r>
      </m:oMath>
      <w:r>
        <w:t xml:space="preserve">(2.203,</w:t>
      </w:r>
      <w:r>
        <w:t xml:space="preserve"> </w:t>
      </w:r>
      <w:r>
        <w:t xml:space="preserve">37.455) =</w:t>
      </w:r>
      <w:r>
        <w:t xml:space="preserve"> </w:t>
      </w:r>
      <w:r>
        <w:t xml:space="preserve">3.827,</w:t>
      </w:r>
      <w:r>
        <w:t xml:space="preserve"> </w:t>
      </w:r>
      <w:r>
        <w:t xml:space="preserve">p = 0.027,</w:t>
      </w:r>
      <w:r>
        <w:t xml:space="preserve"> </w:t>
      </w:r>
      <m:oMath>
        <m:sSubSup>
          <m:e>
            <m:r>
              <m:t>η</m:t>
            </m:r>
          </m:e>
          <m:sub>
            <m:r>
              <m:t>p</m:t>
            </m:r>
          </m:sub>
          <m:sup>
            <m:r>
              <m:t>2</m:t>
            </m:r>
          </m:sup>
        </m:sSubSup>
      </m:oMath>
      <w:r>
        <w:t xml:space="preserve"> </w:t>
      </w:r>
      <w:r>
        <w:t xml:space="preserve">= 0.184,</w:t>
      </w:r>
      <w:r>
        <w:t xml:space="preserve"> </w:t>
      </w:r>
      <m:oMath>
        <m:r>
          <m:t>B</m:t>
        </m:r>
        <m:sSub>
          <m:e>
            <m:r>
              <m:t>F</m:t>
            </m:r>
          </m:e>
          <m:sub>
            <m:r>
              <m:t>10</m:t>
            </m:r>
          </m:sub>
        </m:sSub>
      </m:oMath>
      <w:r>
        <w:t xml:space="preserve"> </w:t>
      </w:r>
      <w:r>
        <w:t xml:space="preserve">= 1.433).</w:t>
      </w:r>
      <w:r>
        <w:t xml:space="preserve"> </w:t>
      </w:r>
      <w:r>
        <w:t xml:space="preserve">However, the post-hoc multiple comparisons for the VF locations showed that any pair of VF loaction did not reach the significance level (p &gt; 0.05).</w:t>
      </w:r>
      <w:r>
        <w:t xml:space="preserve"> </w:t>
      </w:r>
      <w:r>
        <w:t xml:space="preserve">There was no significant interaction between the pattern and VF locations</w:t>
      </w:r>
      <w:r>
        <w:t xml:space="preserve"> </w:t>
      </w:r>
      <w:r>
        <w:t xml:space="preserve">(</w:t>
      </w:r>
      <m:oMath>
        <m:r>
          <m:t>F</m:t>
        </m:r>
      </m:oMath>
      <w:r>
        <w:t xml:space="preserve">(2.653,</w:t>
      </w:r>
      <w:r>
        <w:t xml:space="preserve"> </w:t>
      </w:r>
      <w:r>
        <w:t xml:space="preserve">45.101) =</w:t>
      </w:r>
      <w:r>
        <w:t xml:space="preserve"> </w:t>
      </w:r>
      <w:r>
        <w:t xml:space="preserve">0.588,</w:t>
      </w:r>
      <w:r>
        <w:t xml:space="preserve"> </w:t>
      </w:r>
      <w:r>
        <w:t xml:space="preserve">p = 0.606,</w:t>
      </w:r>
      <w:r>
        <w:t xml:space="preserve"> </w:t>
      </w:r>
      <m:oMath>
        <m:sSubSup>
          <m:e>
            <m:r>
              <m:t>η</m:t>
            </m:r>
          </m:e>
          <m:sub>
            <m:r>
              <m:t>p</m:t>
            </m:r>
          </m:sub>
          <m:sup>
            <m:r>
              <m:t>2</m:t>
            </m:r>
          </m:sup>
        </m:sSubSup>
      </m:oMath>
      <w:r>
        <w:t xml:space="preserve"> </w:t>
      </w:r>
      <w:r>
        <w:t xml:space="preserve">= 0.033,</w:t>
      </w:r>
      <w:r>
        <w:t xml:space="preserve"> </w:t>
      </w:r>
      <m:oMath>
        <m:r>
          <m:t>B</m:t>
        </m:r>
        <m:sSub>
          <m:e>
            <m:r>
              <m:t>F</m:t>
            </m:r>
          </m:e>
          <m:sub>
            <m:r>
              <m:t>10</m:t>
            </m:r>
          </m:sub>
        </m:sSub>
      </m:oMath>
      <w:r>
        <w:t xml:space="preserve"> </w:t>
      </w:r>
      <w:r>
        <w:t xml:space="preserve">= 0.122).</w:t>
      </w:r>
    </w:p>
    <w:p>
      <w:pPr>
        <w:pStyle w:val="BodyText"/>
      </w:pPr>
      <w:r>
        <w:t xml:space="preserve">For the Center condition,</w:t>
      </w:r>
      <w:r>
        <w:t xml:space="preserve"> </w:t>
      </w:r>
      <w:r>
        <w:t xml:space="preserve">(</w:t>
      </w:r>
      <m:oMath>
        <m:r>
          <m:t>t</m:t>
        </m:r>
      </m:oMath>
      <w:r>
        <w:t xml:space="preserve">(17) =</w:t>
      </w:r>
      <w:r>
        <w:t xml:space="preserve"> </w:t>
      </w:r>
      <w:r>
        <w:t xml:space="preserve">-2.258,</w:t>
      </w:r>
      <w:r>
        <w:t xml:space="preserve"> </w:t>
      </w:r>
      <m:oMath>
        <m:r>
          <m:t>p</m:t>
        </m:r>
      </m:oMath>
      <w:r>
        <w:t xml:space="preserve"> </w:t>
      </w:r>
      <w:r>
        <w:t xml:space="preserve">= 0.037,</w:t>
      </w:r>
      <w:r>
        <w:t xml:space="preserve"> </w:t>
      </w:r>
      <w:r>
        <w:t xml:space="preserve">Cohen’s</w:t>
      </w:r>
      <w:r>
        <w:t xml:space="preserve"> </w:t>
      </w:r>
      <m:oMath>
        <m:sSub>
          <m:e>
            <m:r>
              <m:t>d</m:t>
            </m:r>
          </m:e>
          <m:sub>
            <m:r>
              <m:t>z</m:t>
            </m:r>
          </m:sub>
        </m:sSub>
      </m:oMath>
      <w:r>
        <w:t xml:space="preserve"> </w:t>
      </w:r>
      <w:r>
        <w:t xml:space="preserve">= 0.275,</w:t>
      </w:r>
      <w:r>
        <w:t xml:space="preserve"> </w:t>
      </w:r>
      <m:oMath>
        <m:r>
          <m:t>B</m:t>
        </m:r>
        <m:sSub>
          <m:e>
            <m:r>
              <m:t>F</m:t>
            </m:r>
          </m:e>
          <m:sub>
            <m:r>
              <m:t>10</m:t>
            </m:r>
          </m:sub>
        </m:sSub>
      </m:oMath>
      <w:r>
        <w:t xml:space="preserve"> </w:t>
      </w:r>
      <w:r>
        <w:t xml:space="preserve">= 1.812)</w:t>
      </w:r>
    </w:p>
    <w:p>
      <w:pPr>
        <w:pStyle w:val="BodyText"/>
      </w:pPr>
      <w:r>
        <w:t xml:space="preserve">The two-way repeated measures ANOVA revealed a significant main effect on the VF location and interaction</w:t>
      </w:r>
      <w:r>
        <w:t xml:space="preserve"> </w:t>
      </w:r>
      <w:r>
        <w:t xml:space="preserve">(</w:t>
      </w:r>
      <m:oMath>
        <m:r>
          <m:t>F</m:t>
        </m:r>
      </m:oMath>
      <w:r>
        <w:t xml:space="preserve">(2.19,</w:t>
      </w:r>
      <w:r>
        <w:t xml:space="preserve"> </w:t>
      </w:r>
      <w:r>
        <w:t xml:space="preserve">37.233) =</w:t>
      </w:r>
      <w:r>
        <w:t xml:space="preserve"> </w:t>
      </w:r>
      <w:r>
        <w:t xml:space="preserve">4.511,</w:t>
      </w:r>
      <w:r>
        <w:t xml:space="preserve"> </w:t>
      </w:r>
      <w:r>
        <w:t xml:space="preserve">p = 0.015,</w:t>
      </w:r>
      <w:r>
        <w:t xml:space="preserve"> </w:t>
      </w:r>
      <m:oMath>
        <m:sSubSup>
          <m:e>
            <m:r>
              <m:t>η</m:t>
            </m:r>
          </m:e>
          <m:sub>
            <m:r>
              <m:t>p</m:t>
            </m:r>
          </m:sub>
          <m:sup>
            <m:r>
              <m:t>2</m:t>
            </m:r>
          </m:sup>
        </m:sSubSup>
      </m:oMath>
      <w:r>
        <w:t xml:space="preserve"> </w:t>
      </w:r>
      <w:r>
        <w:t xml:space="preserve">= 0.21,</w:t>
      </w:r>
      <w:r>
        <w:t xml:space="preserve"> </w:t>
      </w:r>
      <m:oMath>
        <m:r>
          <m:t>B</m:t>
        </m:r>
        <m:sSub>
          <m:e>
            <m:r>
              <m:t>F</m:t>
            </m:r>
          </m:e>
          <m:sub>
            <m:r>
              <m:t>10</m:t>
            </m:r>
          </m:sub>
        </m:sSub>
      </m:oMath>
      <w:r>
        <w:t xml:space="preserve"> </w:t>
      </w:r>
      <w:r>
        <w:t xml:space="preserve">= 13.463;</w:t>
      </w:r>
      <w:r>
        <w:t xml:space="preserve"> </w:t>
      </w:r>
      <m:oMath>
        <m:r>
          <m:t>F</m:t>
        </m:r>
      </m:oMath>
      <w:r>
        <w:t xml:space="preserve">(2.927,</w:t>
      </w:r>
      <w:r>
        <w:t xml:space="preserve"> </w:t>
      </w:r>
      <w:r>
        <w:t xml:space="preserve">49.753) =</w:t>
      </w:r>
      <w:r>
        <w:t xml:space="preserve"> </w:t>
      </w:r>
      <w:r>
        <w:t xml:space="preserve">2.693,</w:t>
      </w:r>
      <w:r>
        <w:t xml:space="preserve"> </w:t>
      </w:r>
      <w:r>
        <w:t xml:space="preserve">p = 0.057,</w:t>
      </w:r>
      <w:r>
        <w:t xml:space="preserve"> </w:t>
      </w:r>
      <m:oMath>
        <m:sSubSup>
          <m:e>
            <m:r>
              <m:t>η</m:t>
            </m:r>
          </m:e>
          <m:sub>
            <m:r>
              <m:t>p</m:t>
            </m:r>
          </m:sub>
          <m:sup>
            <m:r>
              <m:t>2</m:t>
            </m:r>
          </m:sup>
        </m:sSubSup>
      </m:oMath>
      <w:r>
        <w:t xml:space="preserve"> </w:t>
      </w:r>
      <w:r>
        <w:t xml:space="preserve">= 0.137,</w:t>
      </w:r>
      <w:r>
        <w:t xml:space="preserve"> </w:t>
      </w:r>
      <m:oMath>
        <m:r>
          <m:t>B</m:t>
        </m:r>
        <m:sSub>
          <m:e>
            <m:r>
              <m:t>F</m:t>
            </m:r>
          </m:e>
          <m:sub>
            <m:r>
              <m:t>10</m:t>
            </m:r>
          </m:sub>
        </m:sSub>
      </m:oMath>
      <w:r>
        <w:t xml:space="preserve"> </w:t>
      </w:r>
      <w:r>
        <w:t xml:space="preserve">= 1.125).</w:t>
      </w:r>
    </w:p>
    <w:p>
      <w:pPr>
        <w:pStyle w:val="BodyText"/>
      </w:pPr>
      <w:r>
        <w:t xml:space="preserve">The UVF produces larger pupil dilation than the left and Right VFs</w:t>
      </w:r>
      <w:r>
        <w:t xml:space="preserve"> </w:t>
      </w:r>
      <w:r>
        <w:t xml:space="preserve">(</w:t>
      </w:r>
      <m:oMath>
        <m:r>
          <m:t>t</m:t>
        </m:r>
      </m:oMath>
      <w:r>
        <w:t xml:space="preserve">(17) =</w:t>
      </w:r>
      <w:r>
        <w:t xml:space="preserve"> </w:t>
      </w:r>
      <w:r>
        <w:t xml:space="preserve">3.712,</w:t>
      </w:r>
      <w:r>
        <w:t xml:space="preserve"> </w:t>
      </w:r>
      <m:oMath>
        <m:r>
          <m:t>p</m:t>
        </m:r>
      </m:oMath>
      <w:r>
        <w:t xml:space="preserve"> </w:t>
      </w:r>
      <w:r>
        <w:t xml:space="preserve">= 0.01 for upper vs. left;</w:t>
      </w:r>
      <w:r>
        <w:t xml:space="preserve"> </w:t>
      </w:r>
      <m:oMath>
        <m:r>
          <m:t>t</m:t>
        </m:r>
      </m:oMath>
      <w:r>
        <w:t xml:space="preserve">(17) =</w:t>
      </w:r>
      <w:r>
        <w:t xml:space="preserve"> </w:t>
      </w:r>
      <w:r>
        <w:t xml:space="preserve">2.346,</w:t>
      </w:r>
      <w:r>
        <w:t xml:space="preserve"> </w:t>
      </w:r>
      <m:oMath>
        <m:r>
          <m:t>p</m:t>
        </m:r>
      </m:oMath>
      <w:r>
        <w:t xml:space="preserve"> </w:t>
      </w:r>
      <w:r>
        <w:t xml:space="preserve">= 0.094 for upper vs. Lower;</w:t>
      </w:r>
      <w:r>
        <w:t xml:space="preserve"> </w:t>
      </w:r>
      <m:oMath>
        <m:r>
          <m:t>t</m:t>
        </m:r>
      </m:oMath>
      <w:r>
        <w:t xml:space="preserve">(17) =</w:t>
      </w:r>
      <w:r>
        <w:t xml:space="preserve"> </w:t>
      </w:r>
      <w:r>
        <w:t xml:space="preserve">1.747,</w:t>
      </w:r>
      <w:r>
        <w:t xml:space="preserve"> </w:t>
      </w:r>
      <m:oMath>
        <m:r>
          <m:t>p</m:t>
        </m:r>
      </m:oMath>
      <w:r>
        <w:t xml:space="preserve"> </w:t>
      </w:r>
      <w:r>
        <w:t xml:space="preserve">= 0.296 for upper vs.left;</w:t>
      </w:r>
      <w:r>
        <w:t xml:space="preserve"> </w:t>
      </w:r>
      <m:oMath>
        <m:r>
          <m:t>t</m:t>
        </m:r>
      </m:oMath>
      <w:r>
        <w:t xml:space="preserve">(17) =</w:t>
      </w:r>
      <w:r>
        <w:t xml:space="preserve"> </w:t>
      </w:r>
      <w:r>
        <w:t xml:space="preserve">1.729,</w:t>
      </w:r>
      <w:r>
        <w:t xml:space="preserve"> </w:t>
      </w:r>
      <m:oMath>
        <m:r>
          <m:t>p</m:t>
        </m:r>
      </m:oMath>
      <w:r>
        <w:t xml:space="preserve"> </w:t>
      </w:r>
      <w:r>
        <w:t xml:space="preserve">= 0.306 for upper vs.left;</w:t>
      </w:r>
      <w:r>
        <w:t xml:space="preserve"> </w:t>
      </w:r>
      <m:oMath>
        <m:r>
          <m:t>t</m:t>
        </m:r>
      </m:oMath>
      <w:r>
        <w:t xml:space="preserve">(17) =</w:t>
      </w:r>
      <w:r>
        <w:t xml:space="preserve"> </w:t>
      </w:r>
      <w:r>
        <w:t xml:space="preserve">1.574,</w:t>
      </w:r>
      <w:r>
        <w:t xml:space="preserve"> </w:t>
      </w:r>
      <m:oMath>
        <m:r>
          <m:t>p</m:t>
        </m:r>
      </m:oMath>
      <w:r>
        <w:t xml:space="preserve"> </w:t>
      </w:r>
      <w:r>
        <w:t xml:space="preserve">= 0.306 for upper vs.left;</w:t>
      </w:r>
      <w:r>
        <w:t xml:space="preserve"> </w:t>
      </w:r>
      <w:r>
        <w:t xml:space="preserve">)</w:t>
      </w:r>
    </w:p>
    <w:p>
      <w:pPr>
        <w:pStyle w:val="BodyText"/>
      </w:pPr>
      <w:r>
        <w:t xml:space="preserve">(</w:t>
      </w:r>
      <m:oMath>
        <m:r>
          <m:t>t</m:t>
        </m:r>
      </m:oMath>
      <w:r>
        <w:t xml:space="preserve">(17) =</w:t>
      </w:r>
      <w:r>
        <w:t xml:space="preserve"> </w:t>
      </w:r>
      <w:r>
        <w:t xml:space="preserve">4.485,</w:t>
      </w:r>
      <w:r>
        <w:t xml:space="preserve"> </w:t>
      </w:r>
      <m:oMath>
        <m:r>
          <m:t>p</m:t>
        </m:r>
      </m:oMath>
      <w:r>
        <w:t xml:space="preserve"> </w:t>
      </w:r>
      <w:r>
        <w:t xml:space="preserve">= 0.049,</w:t>
      </w:r>
      <w:r>
        <w:t xml:space="preserve"> </w:t>
      </w:r>
      <m:oMath>
        <m:sSubSup>
          <m:e>
            <m:r>
              <m:t>η</m:t>
            </m:r>
          </m:e>
          <m:sub>
            <m:r>
              <m:t>p</m:t>
            </m:r>
          </m:sub>
          <m:sup>
            <m:r>
              <m:t>2</m:t>
            </m:r>
          </m:sup>
        </m:sSubSup>
      </m:oMath>
      <w:r>
        <w:t xml:space="preserve"> </w:t>
      </w:r>
      <w:r>
        <w:t xml:space="preserve">= 0.209 for Upper;</w:t>
      </w:r>
      <w:r>
        <w:t xml:space="preserve"> </w:t>
      </w:r>
      <m:oMath>
        <m:r>
          <m:t>t</m:t>
        </m:r>
      </m:oMath>
      <w:r>
        <w:t xml:space="preserve">(17) =</w:t>
      </w:r>
      <w:r>
        <w:t xml:space="preserve"> </w:t>
      </w:r>
      <w:r>
        <w:t xml:space="preserve">1.54,</w:t>
      </w:r>
      <w:r>
        <w:t xml:space="preserve"> </w:t>
      </w:r>
      <m:oMath>
        <m:r>
          <m:t>p</m:t>
        </m:r>
      </m:oMath>
      <w:r>
        <w:t xml:space="preserve"> </w:t>
      </w:r>
      <w:r>
        <w:t xml:space="preserve">= 0.232,</w:t>
      </w:r>
      <w:r>
        <w:t xml:space="preserve"> </w:t>
      </w:r>
      <m:oMath>
        <m:sSubSup>
          <m:e>
            <m:r>
              <m:t>η</m:t>
            </m:r>
          </m:e>
          <m:sub>
            <m:r>
              <m:t>p</m:t>
            </m:r>
          </m:sub>
          <m:sup>
            <m:r>
              <m:t>2</m:t>
            </m:r>
          </m:sup>
        </m:sSubSup>
      </m:oMath>
      <w:r>
        <w:t xml:space="preserve"> </w:t>
      </w:r>
      <w:r>
        <w:t xml:space="preserve">= 0.083 for Lower;</w:t>
      </w:r>
      <w:r>
        <w:t xml:space="preserve"> </w:t>
      </w:r>
      <m:oMath>
        <m:r>
          <m:t>t</m:t>
        </m:r>
      </m:oMath>
      <w:r>
        <w:t xml:space="preserve">(17) =</w:t>
      </w:r>
      <w:r>
        <w:t xml:space="preserve"> </w:t>
      </w:r>
      <w:r>
        <w:t xml:space="preserve">2.444,</w:t>
      </w:r>
      <w:r>
        <w:t xml:space="preserve"> </w:t>
      </w:r>
      <m:oMath>
        <m:r>
          <m:t>p</m:t>
        </m:r>
      </m:oMath>
      <w:r>
        <w:t xml:space="preserve"> </w:t>
      </w:r>
      <w:r>
        <w:t xml:space="preserve">= 0.136,</w:t>
      </w:r>
      <w:r>
        <w:t xml:space="preserve"> </w:t>
      </w:r>
      <m:oMath>
        <m:sSubSup>
          <m:e>
            <m:r>
              <m:t>η</m:t>
            </m:r>
          </m:e>
          <m:sub>
            <m:r>
              <m:t>p</m:t>
            </m:r>
          </m:sub>
          <m:sup>
            <m:r>
              <m:t>2</m:t>
            </m:r>
          </m:sup>
        </m:sSubSup>
      </m:oMath>
      <w:r>
        <w:t xml:space="preserve"> </w:t>
      </w:r>
      <w:r>
        <w:t xml:space="preserve">= 0.126 for Left;</w:t>
      </w:r>
      <w:r>
        <w:t xml:space="preserve"> </w:t>
      </w:r>
      <m:oMath>
        <m:r>
          <m:t>t</m:t>
        </m:r>
      </m:oMath>
      <w:r>
        <w:t xml:space="preserve">(17) =</w:t>
      </w:r>
      <w:r>
        <w:t xml:space="preserve"> </w:t>
      </w:r>
      <w:r>
        <w:t xml:space="preserve">0.066,</w:t>
      </w:r>
      <w:r>
        <w:t xml:space="preserve"> </w:t>
      </w:r>
      <m:oMath>
        <m:r>
          <m:t>p</m:t>
        </m:r>
      </m:oMath>
      <w:r>
        <w:t xml:space="preserve"> </w:t>
      </w:r>
      <w:r>
        <w:t xml:space="preserve">= 0.8,</w:t>
      </w:r>
      <w:r>
        <w:t xml:space="preserve"> </w:t>
      </w:r>
      <m:oMath>
        <m:sSubSup>
          <m:e>
            <m:r>
              <m:t>η</m:t>
            </m:r>
          </m:e>
          <m:sub>
            <m:r>
              <m:t>p</m:t>
            </m:r>
          </m:sub>
          <m:sup>
            <m:r>
              <m:t>2</m:t>
            </m:r>
          </m:sup>
        </m:sSubSup>
      </m:oMath>
      <w:r>
        <w:t xml:space="preserve"> </w:t>
      </w:r>
      <w:r>
        <w:t xml:space="preserve">= 0.004 for Right</w:t>
      </w:r>
      <w:r>
        <w:t xml:space="preserve"> </w:t>
      </w:r>
      <w:r>
        <w:t xml:space="preserve">)</w:t>
      </w:r>
    </w:p>
    <w:p>
      <w:pPr>
        <w:pStyle w:val="BodyText"/>
      </w:pPr>
      <w:r>
        <w:t xml:space="preserve">in line with the previous studies</w:t>
      </w:r>
      <w:r>
        <w:t xml:space="preserve"> </w:t>
      </w:r>
      <w:r>
        <w:rPr>
          <w:bCs/>
          <w:b/>
        </w:rPr>
        <w:t xml:space="preserve">(Hong et al., 2001; Sabeti et al., 2011; Tan et al., 2001; Wilhelm et al., 2000)</w:t>
      </w:r>
      <w:r>
        <w:t xml:space="preserve">.</w:t>
      </w:r>
    </w:p>
    <w:p>
      <w:pPr>
        <w:pStyle w:val="BodyText"/>
      </w:pPr>
      <w:r>
        <w:t xml:space="preserve">For the Center condition,</w:t>
      </w:r>
      <w:r>
        <w:t xml:space="preserve"> </w:t>
      </w:r>
      <w:r>
        <w:t xml:space="preserve">(</w:t>
      </w:r>
      <m:oMath>
        <m:r>
          <m:t>t</m:t>
        </m:r>
      </m:oMath>
      <w:r>
        <w:t xml:space="preserve">(17) =</w:t>
      </w:r>
      <w:r>
        <w:t xml:space="preserve"> </w:t>
      </w:r>
      <w:r>
        <w:t xml:space="preserve">-2.379,</w:t>
      </w:r>
      <w:r>
        <w:t xml:space="preserve"> </w:t>
      </w:r>
      <m:oMath>
        <m:r>
          <m:t>p</m:t>
        </m:r>
      </m:oMath>
      <w:r>
        <w:t xml:space="preserve"> </w:t>
      </w:r>
      <w:r>
        <w:t xml:space="preserve">= 0.029,</w:t>
      </w:r>
      <w:r>
        <w:t xml:space="preserve"> </w:t>
      </w:r>
      <w:r>
        <w:t xml:space="preserve">Cohen’s</w:t>
      </w:r>
      <w:r>
        <w:t xml:space="preserve"> </w:t>
      </w:r>
      <m:oMath>
        <m:sSub>
          <m:e>
            <m:r>
              <m:t>d</m:t>
            </m:r>
          </m:e>
          <m:sub>
            <m:r>
              <m:t>z</m:t>
            </m:r>
          </m:sub>
        </m:sSub>
      </m:oMath>
      <w:r>
        <w:t xml:space="preserve"> </w:t>
      </w:r>
      <w:r>
        <w:t xml:space="preserve">= 0.335,</w:t>
      </w:r>
      <w:r>
        <w:t xml:space="preserve"> </w:t>
      </w:r>
      <m:oMath>
        <m:r>
          <m:t>B</m:t>
        </m:r>
        <m:sSub>
          <m:e>
            <m:r>
              <m:t>F</m:t>
            </m:r>
          </m:e>
          <m:sub>
            <m:r>
              <m:t>10</m:t>
            </m:r>
          </m:sub>
        </m:sSub>
      </m:oMath>
      <w:r>
        <w:t xml:space="preserve"> </w:t>
      </w:r>
      <w:r>
        <w:t xml:space="preserve">= 2.196)</w:t>
      </w:r>
    </w:p>
    <w:bookmarkEnd w:id="31"/>
    <w:bookmarkStart w:id="32" w:name="figure-3-1"/>
    <w:p>
      <w:pPr>
        <w:pStyle w:val="Heading2"/>
      </w:pPr>
      <w:r>
        <w:t xml:space="preserve">Figure 3</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2021-12-07T02:58:37Z</dcterms:created>
  <dcterms:modified xsi:type="dcterms:W3CDTF">2021-12-07T02:58:37Z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December, 2021</vt:lpwstr>
  </property>
  <property fmtid="{D5CDD505-2E9C-101B-9397-08002B2CF9AE}" pid="3" name="output">
    <vt:lpwstr>word_document</vt:lpwstr>
  </property>
  <property fmtid="{D5CDD505-2E9C-101B-9397-08002B2CF9AE}" pid="4" name="params">
    <vt:lpwstr/>
  </property>
</Properties>
</file>