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w:t>
      </w:r>
      <w:r>
        <w:t xml:space="preserve"> </w:t>
      </w:r>
      <w:r>
        <w:t xml:space="preserve">notes</w:t>
      </w:r>
    </w:p>
    <w:p>
      <w:pPr>
        <w:pStyle w:val="Author"/>
      </w:pPr>
      <w:r>
        <w:t xml:space="preserve">Yuta</w:t>
      </w:r>
      <w:r>
        <w:t xml:space="preserve"> </w:t>
      </w:r>
      <w:r>
        <w:t xml:space="preserve">Suzuki</w:t>
      </w:r>
    </w:p>
    <w:p>
      <w:pPr>
        <w:pStyle w:val="Date"/>
      </w:pPr>
      <w:r>
        <w:t xml:space="preserve">4/23/2021</w:t>
      </w:r>
    </w:p>
    <w:p>
      <w:pPr>
        <w:pStyle w:val="Heading2"/>
      </w:pPr>
      <w:bookmarkStart w:id="20" w:name="article-information"/>
      <w:r>
        <w:t xml:space="preserve">Article information</w:t>
      </w:r>
      <w:bookmarkEnd w:id="20"/>
    </w:p>
    <w:p>
      <w:pPr>
        <w:pStyle w:val="FirstParagraph"/>
      </w:pPr>
      <w:r>
        <w:t xml:space="preserve">Pupil response asymmetries of the periphery visual field in the glare illusion</w:t>
      </w:r>
    </w:p>
    <w:p>
      <w:pPr>
        <w:pStyle w:val="BodyText"/>
      </w:pPr>
      <w:r>
        <w:t xml:space="preserve">Novera Istiqomah, Yuta Suzuki, Yuya Kinzuka, Minami Tetsuto, Shigeki Nakauchi</w:t>
      </w:r>
    </w:p>
    <w:p>
      <w:pPr>
        <w:pStyle w:val="BodyText"/>
      </w:pPr>
      <w:r>
        <w:t xml:space="preserve">*Corresponding author: Yuta Suzuki</w:t>
      </w:r>
    </w:p>
    <w:p>
      <w:pPr>
        <w:pStyle w:val="Heading2"/>
      </w:pPr>
      <w:bookmarkStart w:id="21" w:name="early-and-late-compornents"/>
      <w:r>
        <w:t xml:space="preserve">Early and late compornents</w:t>
      </w:r>
      <w:bookmarkEnd w:id="21"/>
    </w:p>
    <w:p>
      <w:pPr>
        <w:pStyle w:val="FirstParagraph"/>
      </w:pPr>
      <w:r>
        <w:t xml:space="preserve">To assess temporal component of papillary response, the early component corresponded to peak pupil constriction after stimulus onset and the late comportment which was defined by are under the curve (AUC) were calculated (see Method). In early component (Fig 3B), pupil constriction to the glare illusion was larger than control pattern as the previous analysis</w:t>
      </w:r>
      <w:r>
        <w:t xml:space="preserve"> </w:t>
      </w:r>
      <w:r>
        <w:t xml:space="preserve">(</w:t>
      </w:r>
      <m:oMath>
        <m:r>
          <m:t>F</m:t>
        </m:r>
      </m:oMath>
      <w:r>
        <w:t xml:space="preserve">(1,</w:t>
      </w:r>
      <w:r>
        <w:t xml:space="preserve"> </w:t>
      </w:r>
      <w:r>
        <w:t xml:space="preserve">16) =</w:t>
      </w:r>
      <w:r>
        <w:t xml:space="preserve"> </w:t>
      </w:r>
      <w:r>
        <w:t xml:space="preserve">7.709,</w:t>
      </w:r>
      <w:r>
        <w:t xml:space="preserve"> </w:t>
      </w:r>
      <w:r>
        <w:t xml:space="preserve">p = 0.013,</w:t>
      </w:r>
      <w:r>
        <w:t xml:space="preserve"> </w:t>
      </w:r>
      <m:oMath>
        <m:sSubSup>
          <m:e>
            <m:r>
              <m:t>η</m:t>
            </m:r>
          </m:e>
          <m:sub>
            <m:r>
              <m:t>p</m:t>
            </m:r>
          </m:sub>
          <m:sup>
            <m:r>
              <m:t>2</m:t>
            </m:r>
          </m:sup>
        </m:sSubSup>
      </m:oMath>
      <w:r>
        <w:t xml:space="preserve"> </w:t>
      </w:r>
      <w:r>
        <w:t xml:space="preserve">= 0.325,</w:t>
      </w:r>
      <w:r>
        <w:t xml:space="preserve"> </w:t>
      </w:r>
      <m:oMath>
        <m:r>
          <m:t>B</m:t>
        </m:r>
        <m:sSub>
          <m:e>
            <m:r>
              <m:t>F</m:t>
            </m:r>
          </m:e>
          <m:sub>
            <m:r>
              <m:t>10</m:t>
            </m:r>
          </m:sub>
        </m:sSub>
      </m:oMath>
      <w:r>
        <w:t xml:space="preserve"> </w:t>
      </w:r>
      <w:r>
        <w:t xml:space="preserve">= 7.129).</w:t>
      </w:r>
    </w:p>
    <w:p>
      <w:pPr>
        <w:pStyle w:val="BodyText"/>
      </w:pPr>
      <w:r>
        <w:t xml:space="preserve">(</w:t>
      </w:r>
      <m:oMath>
        <m:r>
          <m:t>F</m:t>
        </m:r>
      </m:oMath>
      <w:r>
        <w:t xml:space="preserve">(2.46,</w:t>
      </w:r>
      <w:r>
        <w:t xml:space="preserve"> </w:t>
      </w:r>
      <w:r>
        <w:t xml:space="preserve">39.367) =</w:t>
      </w:r>
      <w:r>
        <w:t xml:space="preserve"> </w:t>
      </w:r>
      <w:r>
        <w:t xml:space="preserve">5.233,</w:t>
      </w:r>
      <w:r>
        <w:t xml:space="preserve"> </w:t>
      </w:r>
      <w:r>
        <w:t xml:space="preserve">p = 0.006,</w:t>
      </w:r>
      <w:r>
        <w:t xml:space="preserve"> </w:t>
      </w:r>
      <m:oMath>
        <m:sSubSup>
          <m:e>
            <m:r>
              <m:t>η</m:t>
            </m:r>
          </m:e>
          <m:sub>
            <m:r>
              <m:t>p</m:t>
            </m:r>
          </m:sub>
          <m:sup>
            <m:r>
              <m:t>2</m:t>
            </m:r>
          </m:sup>
        </m:sSubSup>
      </m:oMath>
      <w:r>
        <w:t xml:space="preserve"> </w:t>
      </w:r>
      <w:r>
        <w:t xml:space="preserve">= 0.246,</w:t>
      </w:r>
      <w:r>
        <w:t xml:space="preserve"> </w:t>
      </w:r>
      <m:oMath>
        <m:r>
          <m:t>B</m:t>
        </m:r>
        <m:sSub>
          <m:e>
            <m:r>
              <m:t>F</m:t>
            </m:r>
          </m:e>
          <m:sub>
            <m:r>
              <m:t>10</m:t>
            </m:r>
          </m:sub>
        </m:sSub>
      </m:oMath>
      <w:r>
        <w:t xml:space="preserve"> </w:t>
      </w:r>
      <w:r>
        <w:t xml:space="preserve">= 4.508).</w:t>
      </w:r>
    </w:p>
    <w:p>
      <w:pPr>
        <w:pStyle w:val="BodyText"/>
      </w:pPr>
      <w:r>
        <w:t xml:space="preserve">(</w:t>
      </w:r>
      <m:oMath>
        <m:r>
          <m:t>F</m:t>
        </m:r>
      </m:oMath>
      <w:r>
        <w:t xml:space="preserve">(2.793,</w:t>
      </w:r>
      <w:r>
        <w:t xml:space="preserve"> </w:t>
      </w:r>
      <w:r>
        <w:t xml:space="preserve">44.683) =</w:t>
      </w:r>
      <w:r>
        <w:t xml:space="preserve"> </w:t>
      </w:r>
      <w:r>
        <w:t xml:space="preserve">0.306,</w:t>
      </w:r>
      <w:r>
        <w:t xml:space="preserve"> </w:t>
      </w:r>
      <w:r>
        <w:t xml:space="preserve">p = 0.807,</w:t>
      </w:r>
      <w:r>
        <w:t xml:space="preserve"> </w:t>
      </w:r>
      <m:oMath>
        <m:sSubSup>
          <m:e>
            <m:r>
              <m:t>η</m:t>
            </m:r>
          </m:e>
          <m:sub>
            <m:r>
              <m:t>p</m:t>
            </m:r>
          </m:sub>
          <m:sup>
            <m:r>
              <m:t>2</m:t>
            </m:r>
          </m:sup>
        </m:sSubSup>
      </m:oMath>
      <w:r>
        <w:t xml:space="preserve"> </w:t>
      </w:r>
      <w:r>
        <w:t xml:space="preserve">= 0.019,</w:t>
      </w:r>
      <w:r>
        <w:t xml:space="preserve"> </w:t>
      </w:r>
      <m:oMath>
        <m:r>
          <m:t>B</m:t>
        </m:r>
        <m:sSub>
          <m:e>
            <m:r>
              <m:t>F</m:t>
            </m:r>
          </m:e>
          <m:sub>
            <m:r>
              <m:t>10</m:t>
            </m:r>
          </m:sub>
        </m:sSub>
      </m:oMath>
      <w:r>
        <w:t xml:space="preserve"> </w:t>
      </w:r>
      <w:r>
        <w:t xml:space="preserve">= 0.111).</w:t>
      </w:r>
    </w:p>
    <w:p>
      <w:pPr>
        <w:pStyle w:val="BodyText"/>
      </w:pPr>
      <w:r>
        <w:t xml:space="preserve">(</w:t>
      </w:r>
      <m:oMath>
        <m:r>
          <m:t>F</m:t>
        </m:r>
      </m:oMath>
      <w:r>
        <w:t xml:space="preserve">(1,</w:t>
      </w:r>
      <w:r>
        <w:t xml:space="preserve"> </w:t>
      </w:r>
      <w:r>
        <w:t xml:space="preserve">16) =</w:t>
      </w:r>
      <w:r>
        <w:t xml:space="preserve"> </w:t>
      </w:r>
      <w:r>
        <w:t xml:space="preserve">0.033,</w:t>
      </w:r>
      <w:r>
        <w:t xml:space="preserve"> </w:t>
      </w:r>
      <w:r>
        <w:t xml:space="preserve">p = 0.858,</w:t>
      </w:r>
      <w:r>
        <w:t xml:space="preserve"> </w:t>
      </w:r>
      <m:oMath>
        <m:sSubSup>
          <m:e>
            <m:r>
              <m:t>η</m:t>
            </m:r>
          </m:e>
          <m:sub>
            <m:r>
              <m:t>p</m:t>
            </m:r>
          </m:sub>
          <m:sup>
            <m:r>
              <m:t>2</m:t>
            </m:r>
          </m:sup>
        </m:sSubSup>
      </m:oMath>
      <w:r>
        <w:t xml:space="preserve"> </w:t>
      </w:r>
      <w:r>
        <w:t xml:space="preserve">= 0.002,</w:t>
      </w:r>
      <w:r>
        <w:t xml:space="preserve"> </w:t>
      </w:r>
      <m:oMath>
        <m:r>
          <m:t>B</m:t>
        </m:r>
        <m:sSub>
          <m:e>
            <m:r>
              <m:t>F</m:t>
            </m:r>
          </m:e>
          <m:sub>
            <m:r>
              <m:t>10</m:t>
            </m:r>
          </m:sub>
        </m:sSub>
      </m:oMath>
      <w:r>
        <w:t xml:space="preserve"> </w:t>
      </w:r>
      <w:r>
        <w:t xml:space="preserve">= 0.182).</w:t>
      </w:r>
    </w:p>
    <w:p>
      <w:pPr>
        <w:pStyle w:val="BodyText"/>
      </w:pPr>
      <w:r>
        <w:t xml:space="preserve">(</w:t>
      </w:r>
      <m:oMath>
        <m:r>
          <m:t>F</m:t>
        </m:r>
      </m:oMath>
      <w:r>
        <w:t xml:space="preserve">(2.024,</w:t>
      </w:r>
      <w:r>
        <w:t xml:space="preserve"> </w:t>
      </w:r>
      <w:r>
        <w:t xml:space="preserve">32.378) =</w:t>
      </w:r>
      <w:r>
        <w:t xml:space="preserve"> </w:t>
      </w:r>
      <w:r>
        <w:t xml:space="preserve">7.189,</w:t>
      </w:r>
      <w:r>
        <w:t xml:space="preserve"> </w:t>
      </w:r>
      <w:r>
        <w:t xml:space="preserve">p = 0.003,</w:t>
      </w:r>
      <w:r>
        <w:t xml:space="preserve"> </w:t>
      </w:r>
      <m:oMath>
        <m:sSubSup>
          <m:e>
            <m:r>
              <m:t>η</m:t>
            </m:r>
          </m:e>
          <m:sub>
            <m:r>
              <m:t>p</m:t>
            </m:r>
          </m:sub>
          <m:sup>
            <m:r>
              <m:t>2</m:t>
            </m:r>
          </m:sup>
        </m:sSubSup>
      </m:oMath>
      <w:r>
        <w:t xml:space="preserve"> </w:t>
      </w:r>
      <w:r>
        <w:t xml:space="preserve">= 0.31,</w:t>
      </w:r>
      <w:r>
        <w:t xml:space="preserve"> </w:t>
      </w:r>
      <m:oMath>
        <m:r>
          <m:t>B</m:t>
        </m:r>
        <m:sSub>
          <m:e>
            <m:r>
              <m:t>F</m:t>
            </m:r>
          </m:e>
          <m:sub>
            <m:r>
              <m:t>10</m:t>
            </m:r>
          </m:sub>
        </m:sSub>
      </m:oMath>
      <w:r>
        <w:t xml:space="preserve"> </w:t>
      </w:r>
      <w:r>
        <w:t xml:space="preserve">= 152.34).</w:t>
      </w:r>
    </w:p>
    <w:p>
      <w:pPr>
        <w:pStyle w:val="BodyText"/>
      </w:pPr>
      <w:r>
        <w:t xml:space="preserve">(</w:t>
      </w:r>
      <m:oMath>
        <m:r>
          <m:t>F</m:t>
        </m:r>
      </m:oMath>
      <w:r>
        <w:t xml:space="preserve">(2.99,</w:t>
      </w:r>
      <w:r>
        <w:t xml:space="preserve"> </w:t>
      </w:r>
      <w:r>
        <w:t xml:space="preserve">47.835) =</w:t>
      </w:r>
      <w:r>
        <w:t xml:space="preserve"> </w:t>
      </w:r>
      <w:r>
        <w:t xml:space="preserve">2.955,</w:t>
      </w:r>
      <w:r>
        <w:t xml:space="preserve"> </w:t>
      </w:r>
      <w:r>
        <w:t xml:space="preserve">p = 0.042,</w:t>
      </w:r>
      <w:r>
        <w:t xml:space="preserve"> </w:t>
      </w:r>
      <m:oMath>
        <m:sSubSup>
          <m:e>
            <m:r>
              <m:t>η</m:t>
            </m:r>
          </m:e>
          <m:sub>
            <m:r>
              <m:t>p</m:t>
            </m:r>
          </m:sub>
          <m:sup>
            <m:r>
              <m:t>2</m:t>
            </m:r>
          </m:sup>
        </m:sSubSup>
      </m:oMath>
      <w:r>
        <w:t xml:space="preserve"> </w:t>
      </w:r>
      <w:r>
        <w:t xml:space="preserve">= 0.156,</w:t>
      </w:r>
      <w:r>
        <w:t xml:space="preserve"> </w:t>
      </w:r>
      <m:oMath>
        <m:r>
          <m:t>B</m:t>
        </m:r>
        <m:sSub>
          <m:e>
            <m:r>
              <m:t>F</m:t>
            </m:r>
          </m:e>
          <m:sub>
            <m:r>
              <m:t>10</m:t>
            </m:r>
          </m:sub>
        </m:sSub>
      </m:oMath>
      <w:r>
        <w:t xml:space="preserve"> </w:t>
      </w:r>
      <w:r>
        <w:t xml:space="preserve">= 1.447).</w:t>
      </w:r>
    </w:p>
    <w:p>
      <w:pPr>
        <w:pStyle w:val="BodyText"/>
      </w:pPr>
      <w:r>
        <w:t xml:space="preserve">The UVF produces larger pupil dilation than the other visual field regardless of the stimulus pattern</w:t>
      </w:r>
      <w:r>
        <w:t xml:space="preserve"> </w:t>
      </w:r>
      <w:r>
        <w:t xml:space="preserve">(</w:t>
      </w:r>
      <m:oMath>
        <m:r>
          <m:t>F</m:t>
        </m:r>
      </m:oMath>
      <w:r>
        <w:t xml:space="preserve">(2.46,</w:t>
      </w:r>
      <w:r>
        <w:t xml:space="preserve"> </w:t>
      </w:r>
      <w:r>
        <w:t xml:space="preserve">39.367) = 5.233,</w:t>
      </w:r>
      <w:r>
        <w:t xml:space="preserve"> </w:t>
      </w:r>
      <w:r>
        <w:t xml:space="preserve">p = 0.006,</w:t>
      </w:r>
      <w:r>
        <w:t xml:space="preserve"> </w:t>
      </w:r>
      <m:oMath>
        <m:sSubSup>
          <m:e>
            <m:r>
              <m:t>η</m:t>
            </m:r>
          </m:e>
          <m:sub>
            <m:r>
              <m:t>p</m:t>
            </m:r>
          </m:sub>
          <m:sup>
            <m:r>
              <m:t>2</m:t>
            </m:r>
          </m:sup>
        </m:sSubSup>
      </m:oMath>
      <w:r>
        <w:t xml:space="preserve"> </w:t>
      </w:r>
      <w:r>
        <w:t xml:space="preserve">= 0.246)</w:t>
      </w:r>
      <w:r>
        <w:t xml:space="preserve"> </w:t>
      </w:r>
      <w:r>
        <w:t xml:space="preserve">in line with the previous studies</w:t>
      </w:r>
      <w:r>
        <w:t xml:space="preserve"> </w:t>
      </w:r>
      <w:r>
        <w:rPr>
          <w:b/>
        </w:rPr>
        <w:t xml:space="preserve">(Hong et al., 2001; Sabeti et al., 2011; Tan et al., 2001; Wilhelm et al., 2000)</w:t>
      </w:r>
      <w:r>
        <w:t xml:space="preserve">.</w:t>
      </w:r>
      <w:r>
        <w:t xml:space="preserve"> </w:t>
      </w:r>
      <w:r>
        <w:t xml:space="preserve">There was no significant interaction between visual field and stimulus pattern</w:t>
      </w:r>
      <w:r>
        <w:t xml:space="preserve"> </w:t>
      </w:r>
      <w:r>
        <w:t xml:space="preserve">(</w:t>
      </w:r>
      <m:oMath>
        <m:r>
          <m:t>F</m:t>
        </m:r>
      </m:oMath>
      <w:r>
        <w:t xml:space="preserve">(2.793,</w:t>
      </w:r>
      <w:r>
        <w:t xml:space="preserve"> </w:t>
      </w:r>
      <w:r>
        <w:t xml:space="preserve">44.683) = 0.306,</w:t>
      </w:r>
      <w:r>
        <w:t xml:space="preserve"> </w:t>
      </w:r>
      <w:r>
        <w:t xml:space="preserve">p = 0.807,</w:t>
      </w:r>
      <w:r>
        <w:t xml:space="preserve"> </w:t>
      </w:r>
      <m:oMath>
        <m:sSubSup>
          <m:e>
            <m:r>
              <m:t>η</m:t>
            </m:r>
          </m:e>
          <m:sub>
            <m:r>
              <m:t>p</m:t>
            </m:r>
          </m:sub>
          <m:sup>
            <m:r>
              <m:t>2</m:t>
            </m:r>
          </m:sup>
        </m:sSubSup>
      </m:oMath>
      <w:r>
        <w:t xml:space="preserve"> </w:t>
      </w:r>
      <w:r>
        <w:t xml:space="preserve">= 0.019).</w:t>
      </w:r>
    </w:p>
    <w:p>
      <w:pPr>
        <w:pStyle w:val="BodyText"/>
      </w:pPr>
      <w:r>
        <w:t xml:space="preserve">In late component, there was a significant interaction between visual field and stimulus pattern (</w:t>
      </w:r>
      <m:oMath>
        <m:r>
          <m:t>F</m:t>
        </m:r>
      </m:oMath>
      <w:r>
        <w:t xml:space="preserve">(2.99, 47.835) = 2.955, p = 0.042,</w:t>
      </w:r>
      <w:r>
        <w:t xml:space="preserve"> </w:t>
      </w:r>
      <m:oMath>
        <m:sSubSup>
          <m:e>
            <m:r>
              <m:t>η</m:t>
            </m:r>
          </m:e>
          <m:sub>
            <m:r>
              <m:t>p</m:t>
            </m:r>
          </m:sub>
          <m:sup>
            <m:r>
              <m:t>2</m:t>
            </m:r>
          </m:sup>
        </m:sSubSup>
      </m:oMath>
      <w:r>
        <w:t xml:space="preserve"> </w:t>
      </w:r>
      <w:r>
        <w:t xml:space="preserve">= 0.156). Crucial, the significant differences of pupil response between glare and control stimuli was seen only in the UVF (F(1,16) = 5.652,p = 0.03,</w:t>
      </w:r>
      <w:r>
        <w:t xml:space="preserve"> </w:t>
      </w:r>
      <m:oMath>
        <m:sSubSup>
          <m:e>
            <m:r>
              <m:t>η</m:t>
            </m:r>
          </m:e>
          <m:sub>
            <m:r>
              <m:t>p</m:t>
            </m:r>
          </m:sub>
          <m:sup>
            <m:r>
              <m:t>2</m:t>
            </m:r>
          </m:sup>
        </m:sSubSup>
      </m:oMath>
      <w:r>
        <w:t xml:space="preserve"> </w:t>
      </w:r>
      <w:r>
        <w:t xml:space="preserve">= 0.261).</w:t>
      </w:r>
    </w:p>
    <w:p>
      <w:pPr>
        <w:pStyle w:val="BodyText"/>
      </w:pPr>
      <m:oMathPara>
        <m:oMathParaPr>
          <m:jc m:val="center"/>
        </m:oMathParaPr>
        <m:oMath>
          <m:r>
            <m:t>A</m:t>
          </m:r>
          <m:r>
            <m:t>U</m:t>
          </m:r>
          <m:r>
            <m:t>C</m:t>
          </m:r>
          <m:r>
            <m:t>=</m:t>
          </m:r>
          <m:nary>
            <m:naryPr>
              <m:chr m:val="∑"/>
              <m:limLoc m:val="undOvr"/>
              <m:subHide m:val="0"/>
              <m:supHide m:val="0"/>
            </m:naryPr>
            <m:sub>
              <m:r>
                <m:t>i</m:t>
              </m:r>
              <m:r>
                <m:t>=</m:t>
              </m:r>
              <m:r>
                <m:t>0.787</m:t>
              </m:r>
            </m:sub>
            <m:sup>
              <m:r>
                <m:t>4</m:t>
              </m:r>
            </m:sup>
            <m:e>
              <m:sSub>
                <m:e>
                  <m:r>
                    <m:t>x</m:t>
                  </m:r>
                </m:e>
                <m:sub>
                  <m:r>
                    <m:t>i</m:t>
                  </m:r>
                </m:sub>
              </m:sSub>
            </m:e>
          </m:nary>
          <m:r>
            <m:t>−</m:t>
          </m:r>
          <m:sSub>
            <m:e>
              <m:r>
                <m:t>x</m:t>
              </m:r>
            </m:e>
            <m:sub>
              <m:r>
                <m:t>0.787</m:t>
              </m:r>
            </m:sub>
          </m:sSub>
        </m:oMath>
      </m:oMathPara>
    </w:p>
    <w:p>
      <w:pPr>
        <w:pStyle w:val="Heading2"/>
      </w:pPr>
      <w:bookmarkStart w:id="22" w:name="figure-3"/>
      <w:r>
        <w:t xml:space="preserve">Figure 3</w:t>
      </w:r>
      <w:bookmarkEnd w:id="22"/>
    </w:p>
    <w:p>
      <w:pPr>
        <w:pStyle w:val="FirstParagraph"/>
      </w:pPr>
      <w:r>
        <w:drawing>
          <wp:inline>
            <wp:extent cx="5334000" cy="2051538"/>
            <wp:effectExtent b="0" l="0" r="0" t="0"/>
            <wp:docPr descr="" title="" id="1" name="Picture"/>
            <a:graphic>
              <a:graphicData uri="http://schemas.openxmlformats.org/drawingml/2006/picture">
                <pic:pic>
                  <pic:nvPicPr>
                    <pic:cNvPr descr="figure_files/figure-docx/unnamed-chunk-5-1.png" id="0" name="Picture"/>
                    <pic:cNvPicPr>
                      <a:picLocks noChangeArrowheads="1" noChangeAspect="1"/>
                    </pic:cNvPicPr>
                  </pic:nvPicPr>
                  <pic:blipFill>
                    <a:blip r:embed="rId23"/>
                    <a:stretch>
                      <a:fillRect/>
                    </a:stretch>
                  </pic:blipFill>
                  <pic:spPr bwMode="auto">
                    <a:xfrm>
                      <a:off x="0" y="0"/>
                      <a:ext cx="5334000" cy="2051538"/>
                    </a:xfrm>
                    <a:prstGeom prst="rect">
                      <a:avLst/>
                    </a:prstGeom>
                    <a:noFill/>
                    <a:ln w="9525">
                      <a:noFill/>
                      <a:headEnd/>
                      <a:tailEnd/>
                    </a:ln>
                  </pic:spPr>
                </pic:pic>
              </a:graphicData>
            </a:graphic>
          </wp:inline>
        </w:drawing>
      </w:r>
    </w:p>
    <w:p>
      <w:pPr>
        <w:pStyle w:val="SourceCode"/>
      </w:pPr>
      <w:r>
        <w:rPr>
          <w:rStyle w:val="VerbatimChar"/>
        </w:rPr>
        <w:t xml:space="preserve">## quartz_off_screen </w:t>
      </w:r>
      <w:r>
        <w:br/>
      </w:r>
      <w:r>
        <w:rPr>
          <w:rStyle w:val="VerbatimChar"/>
        </w:rPr>
        <w:t xml:space="preserve">##                 2</w:t>
      </w:r>
    </w:p>
    <w:p>
      <w:pPr>
        <w:pStyle w:val="FirstParagraph"/>
      </w:pPr>
      <w:r>
        <w:drawing>
          <wp:inline>
            <wp:extent cx="5334000" cy="2051538"/>
            <wp:effectExtent b="0" l="0" r="0" t="0"/>
            <wp:docPr descr="" title="" id="1" name="Picture"/>
            <a:graphic>
              <a:graphicData uri="http://schemas.openxmlformats.org/drawingml/2006/picture">
                <pic:pic>
                  <pic:nvPicPr>
                    <pic:cNvPr descr="figure_files/figure-docx/unnamed-chunk-5-2.png" id="0" name="Picture"/>
                    <pic:cNvPicPr>
                      <a:picLocks noChangeArrowheads="1" noChangeAspect="1"/>
                    </pic:cNvPicPr>
                  </pic:nvPicPr>
                  <pic:blipFill>
                    <a:blip r:embed="rId24"/>
                    <a:stretch>
                      <a:fillRect/>
                    </a:stretch>
                  </pic:blipFill>
                  <pic:spPr bwMode="auto">
                    <a:xfrm>
                      <a:off x="0" y="0"/>
                      <a:ext cx="5334000" cy="2051538"/>
                    </a:xfrm>
                    <a:prstGeom prst="rect">
                      <a:avLst/>
                    </a:prstGeom>
                    <a:noFill/>
                    <a:ln w="9525">
                      <a:noFill/>
                      <a:headEnd/>
                      <a:tailEnd/>
                    </a:ln>
                  </pic:spPr>
                </pic:pic>
              </a:graphicData>
            </a:graphic>
          </wp:inline>
        </w:drawing>
      </w:r>
    </w:p>
    <w:p>
      <w:pPr>
        <w:pStyle w:val="SourceCode"/>
      </w:pPr>
      <w:r>
        <w:rPr>
          <w:rStyle w:val="VerbatimChar"/>
        </w:rPr>
        <w:t xml:space="preserve">## quartz_off_screen </w:t>
      </w:r>
      <w:r>
        <w:br/>
      </w:r>
      <w:r>
        <w:rPr>
          <w:rStyle w:val="VerbatimChar"/>
        </w:rPr>
        <w:t xml:space="preserve">##                 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 notes</dc:title>
  <dc:creator>Yuta Suzuki</dc:creator>
  <cp:keywords/>
  <dcterms:created xsi:type="dcterms:W3CDTF">2021-11-28T17:44:42Z</dcterms:created>
  <dcterms:modified xsi:type="dcterms:W3CDTF">2021-11-28T17:44:42Z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4/23/2021</vt:lpwstr>
  </property>
  <property fmtid="{D5CDD505-2E9C-101B-9397-08002B2CF9AE}" pid="3" name="output">
    <vt:lpwstr>word_document</vt:lpwstr>
  </property>
  <property fmtid="{D5CDD505-2E9C-101B-9397-08002B2CF9AE}" pid="4" name="params">
    <vt:lpwstr/>
  </property>
</Properties>
</file>