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note</w:t>
      </w:r>
    </w:p>
    <w:p>
      <w:pPr>
        <w:pStyle w:val="Author"/>
      </w:pPr>
      <w:r>
        <w:t xml:space="preserve">Yuta</w:t>
      </w:r>
      <w:r>
        <w:t xml:space="preserve"> </w:t>
      </w:r>
      <w:r>
        <w:t xml:space="preserve">Suzuki</w:t>
      </w:r>
    </w:p>
    <w:p>
      <w:pPr>
        <w:pStyle w:val="Date"/>
      </w:pPr>
      <w:r>
        <w:t xml:space="preserve">06</w:t>
      </w:r>
      <w:r>
        <w:t xml:space="preserve"> </w:t>
      </w:r>
      <w:r>
        <w:t xml:space="preserve">December,</w:t>
      </w:r>
      <w:r>
        <w:t xml:space="preserve"> </w:t>
      </w:r>
      <w:r>
        <w:t xml:space="preserve">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1" w:name="figure-2"/>
    <w:p>
      <w:pPr>
        <w:pStyle w:val="Heading2"/>
      </w:pPr>
      <w:r>
        <w:t xml:space="preserve">Figure 2</w:t>
      </w:r>
    </w:p>
    <w:bookmarkEnd w:id="21"/>
    <w:bookmarkStart w:id="22" w:name="figure-3"/>
    <w:p>
      <w:pPr>
        <w:pStyle w:val="Heading2"/>
      </w:pPr>
      <w:r>
        <w:t xml:space="preserve">Figure 3</w:t>
      </w:r>
    </w:p>
    <w:bookmarkEnd w:id="22"/>
    <w:bookmarkStart w:id="23" w:name="results"/>
    <w:p>
      <w:pPr>
        <w:pStyle w:val="Heading2"/>
      </w:pPr>
      <w:r>
        <w:t xml:space="preserve">Results</w:t>
      </w:r>
    </w:p>
    <w:p>
      <w:pPr>
        <w:pStyle w:val="FirstParagraph"/>
      </w:pPr>
      <w:r>
        <w:t xml:space="preserve">We presented the glare illusion and halo stimuli at one out of five VF locations (i.e., upper, lower, left, right, and center). As reported previously, enhanced pupil constriction in the Center condition was observed shown in Fig.2A</w:t>
      </w:r>
      <w:r>
        <w:t xml:space="preserve"> </w:t>
      </w:r>
      <w:r>
        <w:t xml:space="preserve">(</w:t>
      </w:r>
      <m:oMath>
        <m:r>
          <m:t>t</m:t>
        </m:r>
      </m:oMath>
      <w:r>
        <w:t xml:space="preserve">(16) =</w:t>
      </w:r>
      <w:r>
        <w:t xml:space="preserve"> </w:t>
      </w:r>
      <w:r>
        <w:t xml:space="preserve">-2.502,</w:t>
      </w:r>
      <w:r>
        <w:t xml:space="preserve"> </w:t>
      </w:r>
      <m:oMath>
        <m:r>
          <m:t>p</m:t>
        </m:r>
      </m:oMath>
      <w:r>
        <w:t xml:space="preserve"> </w:t>
      </w:r>
      <w:r>
        <w:t xml:space="preserve">= 0.024,</w:t>
      </w:r>
      <w:r>
        <w:t xml:space="preserve"> </w:t>
      </w:r>
      <w:r>
        <w:t xml:space="preserve">Cohen’s</w:t>
      </w:r>
      <w:r>
        <w:t xml:space="preserve"> </w:t>
      </w:r>
      <m:oMath>
        <m:sSub>
          <m:e>
            <m:r>
              <m:t>d</m:t>
            </m:r>
          </m:e>
          <m:sub>
            <m:r>
              <m:t>z</m:t>
            </m:r>
          </m:sub>
        </m:sSub>
      </m:oMath>
      <w:r>
        <w:t xml:space="preserve"> </w:t>
      </w:r>
      <w:r>
        <w:t xml:space="preserve">= 0.334,</w:t>
      </w:r>
      <w:r>
        <w:t xml:space="preserve"> </w:t>
      </w:r>
      <m:oMath>
        <m:r>
          <m:t>B</m:t>
        </m:r>
        <m:sSub>
          <m:e>
            <m:r>
              <m:t>F</m:t>
            </m:r>
          </m:e>
          <m:sub>
            <m:r>
              <m:t>10</m:t>
            </m:r>
          </m:sub>
        </m:sSub>
      </m:oMath>
      <w:r>
        <w:t xml:space="preserve"> </w:t>
      </w:r>
      <w:r>
        <w:t xml:space="preserve">= 2.67)</w:t>
      </w:r>
    </w:p>
    <w:p>
      <w:pPr>
        <w:pStyle w:val="BodyText"/>
      </w:pPr>
      <w:r>
        <w:t xml:space="preserve">To assess temporal component of papillary response, the early component corresponded to peak pupil constriction after stimulus onset and the late comportment which was defined by are under the curve (AUC) were calculated (see Method). In early component (Fig 3B), pupil constriction to the glare illusion was larger than control pattern as the previous analysis</w:t>
      </w:r>
      <w:r>
        <w:t xml:space="preserve"> </w:t>
      </w:r>
      <w:r>
        <w:t xml:space="preserve">The two-way repeated measures ANOVA revealed a significant main effect on the pattern and VF locations (</w:t>
      </w:r>
      <m:oMath>
        <m:r>
          <m:t>F</m:t>
        </m:r>
      </m:oMath>
      <w:r>
        <w:t xml:space="preserve">(1,</w:t>
      </w:r>
      <w:r>
        <w:t xml:space="preserve"> </w:t>
      </w:r>
      <w:r>
        <w:t xml:space="preserve">16) =</w:t>
      </w:r>
      <w:r>
        <w:t xml:space="preserve"> </w:t>
      </w:r>
      <w:r>
        <w:t xml:space="preserve">6.818,</w:t>
      </w:r>
      <w:r>
        <w:t xml:space="preserve"> </w:t>
      </w:r>
      <w:r>
        <w:t xml:space="preserve">p = 0.019,</w:t>
      </w:r>
      <w:r>
        <w:t xml:space="preserve"> </w:t>
      </w:r>
      <m:oMath>
        <m:sSubSup>
          <m:e>
            <m:r>
              <m:t>η</m:t>
            </m:r>
          </m:e>
          <m:sub>
            <m:r>
              <m:t>p</m:t>
            </m:r>
          </m:sub>
          <m:sup>
            <m:r>
              <m:t>2</m:t>
            </m:r>
          </m:sup>
        </m:sSubSup>
      </m:oMath>
      <w:r>
        <w:t xml:space="preserve"> </w:t>
      </w:r>
      <w:r>
        <w:t xml:space="preserve">= 0.299;</w:t>
      </w:r>
      <w:r>
        <w:t xml:space="preserve"> </w:t>
      </w:r>
      <m:oMath>
        <m:r>
          <m:t>B</m:t>
        </m:r>
        <m:sSub>
          <m:e>
            <m:r>
              <m:t>F</m:t>
            </m:r>
          </m:e>
          <m:sub>
            <m:r>
              <m:t>10</m:t>
            </m:r>
          </m:sub>
        </m:sSub>
      </m:oMath>
      <w:r>
        <w:t xml:space="preserve"> </w:t>
      </w:r>
      <w:r>
        <w:t xml:space="preserve">= 4.531,</w:t>
      </w:r>
      <w:r>
        <w:t xml:space="preserve"> </w:t>
      </w:r>
      <m:oMath>
        <m:r>
          <m:t>F</m:t>
        </m:r>
      </m:oMath>
      <w:r>
        <w:t xml:space="preserve">(2.486,</w:t>
      </w:r>
      <w:r>
        <w:t xml:space="preserve"> </w:t>
      </w:r>
      <w:r>
        <w:t xml:space="preserve">39.775) =</w:t>
      </w:r>
      <w:r>
        <w:t xml:space="preserve"> </w:t>
      </w:r>
      <w:r>
        <w:t xml:space="preserve">4.694,</w:t>
      </w:r>
      <w:r>
        <w:t xml:space="preserve"> </w:t>
      </w:r>
      <w:r>
        <w:t xml:space="preserve">p = 0.01,</w:t>
      </w:r>
      <w:r>
        <w:t xml:space="preserve"> </w:t>
      </w:r>
      <m:oMath>
        <m:sSubSup>
          <m:e>
            <m:r>
              <m:t>η</m:t>
            </m:r>
          </m:e>
          <m:sub>
            <m:r>
              <m:t>p</m:t>
            </m:r>
          </m:sub>
          <m:sup>
            <m:r>
              <m:t>2</m:t>
            </m:r>
          </m:sup>
        </m:sSubSup>
      </m:oMath>
      <w:r>
        <w:t xml:space="preserve"> </w:t>
      </w:r>
      <w:r>
        <w:t xml:space="preserve">= 0.227,</w:t>
      </w:r>
      <w:r>
        <w:t xml:space="preserve"> </w:t>
      </w:r>
      <m:oMath>
        <m:r>
          <m:t>B</m:t>
        </m:r>
        <m:sSub>
          <m:e>
            <m:r>
              <m:t>F</m:t>
            </m:r>
          </m:e>
          <m:sub>
            <m:r>
              <m:t>10</m:t>
            </m:r>
          </m:sub>
        </m:sSub>
      </m:oMath>
      <w:r>
        <w:t xml:space="preserve"> </w:t>
      </w:r>
      <w:r>
        <w:t xml:space="preserve">= 1.796).</w:t>
      </w:r>
      <w:r>
        <w:t xml:space="preserve"> </w:t>
      </w:r>
      <w:r>
        <w:t xml:space="preserve">However, the post-hoc multiple comparisons for the VF locations showed that any pair of VF loaction did not reach the significance level (p &gt; 0.05).</w:t>
      </w:r>
      <w:r>
        <w:t xml:space="preserve"> </w:t>
      </w:r>
      <w:r>
        <w:t xml:space="preserve">There was no significant interaction between the pattern and VF locations</w:t>
      </w:r>
      <w:r>
        <w:t xml:space="preserve"> </w:t>
      </w:r>
      <w:r>
        <w:t xml:space="preserve">(</w:t>
      </w:r>
      <m:oMath>
        <m:r>
          <m:t>F</m:t>
        </m:r>
      </m:oMath>
      <w:r>
        <w:t xml:space="preserve">(2.832,</w:t>
      </w:r>
      <w:r>
        <w:t xml:space="preserve"> </w:t>
      </w:r>
      <w:r>
        <w:t xml:space="preserve">45.309) =</w:t>
      </w:r>
      <w:r>
        <w:t xml:space="preserve"> </w:t>
      </w:r>
      <w:r>
        <w:t xml:space="preserve">0.604,</w:t>
      </w:r>
      <w:r>
        <w:t xml:space="preserve"> </w:t>
      </w:r>
      <w:r>
        <w:t xml:space="preserve">p = 0.606,</w:t>
      </w:r>
      <w:r>
        <w:t xml:space="preserve"> </w:t>
      </w:r>
      <m:oMath>
        <m:sSubSup>
          <m:e>
            <m:r>
              <m:t>η</m:t>
            </m:r>
          </m:e>
          <m:sub>
            <m:r>
              <m:t>p</m:t>
            </m:r>
          </m:sub>
          <m:sup>
            <m:r>
              <m:t>2</m:t>
            </m:r>
          </m:sup>
        </m:sSubSup>
      </m:oMath>
      <w:r>
        <w:t xml:space="preserve"> </w:t>
      </w:r>
      <w:r>
        <w:t xml:space="preserve">= 0.036,</w:t>
      </w:r>
      <w:r>
        <w:t xml:space="preserve"> </w:t>
      </w:r>
      <m:oMath>
        <m:r>
          <m:t>B</m:t>
        </m:r>
        <m:sSub>
          <m:e>
            <m:r>
              <m:t>F</m:t>
            </m:r>
          </m:e>
          <m:sub>
            <m:r>
              <m:t>10</m:t>
            </m:r>
          </m:sub>
        </m:sSub>
      </m:oMath>
      <w:r>
        <w:t xml:space="preserve"> </w:t>
      </w:r>
      <w:r>
        <w:t xml:space="preserve">= 0.163).</w:t>
      </w:r>
    </w:p>
    <w:p>
      <w:pPr>
        <w:pStyle w:val="BodyText"/>
      </w:pPr>
      <w:r>
        <w:t xml:space="preserve">For the Center condition,</w:t>
      </w:r>
      <w:r>
        <w:t xml:space="preserve"> </w:t>
      </w:r>
      <w:r>
        <w:t xml:space="preserve">(</w:t>
      </w:r>
      <m:oMath>
        <m:r>
          <m:t>t</m:t>
        </m:r>
      </m:oMath>
      <w:r>
        <w:t xml:space="preserve">(16) =</w:t>
      </w:r>
      <w:r>
        <w:t xml:space="preserve"> </w:t>
      </w:r>
      <w:r>
        <w:t xml:space="preserve">-2.226,</w:t>
      </w:r>
      <w:r>
        <w:t xml:space="preserve"> </w:t>
      </w:r>
      <m:oMath>
        <m:r>
          <m:t>p</m:t>
        </m:r>
      </m:oMath>
      <w:r>
        <w:t xml:space="preserve"> </w:t>
      </w:r>
      <w:r>
        <w:t xml:space="preserve">= 0.041,</w:t>
      </w:r>
      <w:r>
        <w:t xml:space="preserve"> </w:t>
      </w:r>
      <w:r>
        <w:t xml:space="preserve">Cohen’s</w:t>
      </w:r>
      <w:r>
        <w:t xml:space="preserve"> </w:t>
      </w:r>
      <m:oMath>
        <m:sSub>
          <m:e>
            <m:r>
              <m:t>d</m:t>
            </m:r>
          </m:e>
          <m:sub>
            <m:r>
              <m:t>z</m:t>
            </m:r>
          </m:sub>
        </m:sSub>
      </m:oMath>
      <w:r>
        <w:t xml:space="preserve"> </w:t>
      </w:r>
      <w:r>
        <w:t xml:space="preserve">= 0.303,</w:t>
      </w:r>
      <w:r>
        <w:t xml:space="preserve"> </w:t>
      </w:r>
      <m:oMath>
        <m:r>
          <m:t>B</m:t>
        </m:r>
        <m:sSub>
          <m:e>
            <m:r>
              <m:t>F</m:t>
            </m:r>
          </m:e>
          <m:sub>
            <m:r>
              <m:t>10</m:t>
            </m:r>
          </m:sub>
        </m:sSub>
      </m:oMath>
      <w:r>
        <w:t xml:space="preserve"> </w:t>
      </w:r>
      <w:r>
        <w:t xml:space="preserve">= 1.727)</w:t>
      </w:r>
    </w:p>
    <w:p>
      <w:pPr>
        <w:pStyle w:val="BodyText"/>
      </w:pPr>
      <w:r>
        <w:t xml:space="preserve">The two-way repeated measures ANOVA revealed a significant main effect on the VF location and interaction</w:t>
      </w:r>
      <w:r>
        <w:t xml:space="preserve"> </w:t>
      </w:r>
      <w:r>
        <w:t xml:space="preserve">(</w:t>
      </w:r>
      <m:oMath>
        <m:r>
          <m:t>F</m:t>
        </m:r>
      </m:oMath>
      <w:r>
        <w:t xml:space="preserve">(2.212,</w:t>
      </w:r>
      <w:r>
        <w:t xml:space="preserve"> </w:t>
      </w:r>
      <w:r>
        <w:t xml:space="preserve">35.398) =</w:t>
      </w:r>
      <w:r>
        <w:t xml:space="preserve"> </w:t>
      </w:r>
      <w:r>
        <w:t xml:space="preserve">7.779,</w:t>
      </w:r>
      <w:r>
        <w:t xml:space="preserve"> </w:t>
      </w:r>
      <w:r>
        <w:t xml:space="preserve">p = 0.001,</w:t>
      </w:r>
      <w:r>
        <w:t xml:space="preserve"> </w:t>
      </w:r>
      <m:oMath>
        <m:sSubSup>
          <m:e>
            <m:r>
              <m:t>η</m:t>
            </m:r>
          </m:e>
          <m:sub>
            <m:r>
              <m:t>p</m:t>
            </m:r>
          </m:sub>
          <m:sup>
            <m:r>
              <m:t>2</m:t>
            </m:r>
          </m:sup>
        </m:sSubSup>
      </m:oMath>
      <w:r>
        <w:t xml:space="preserve"> </w:t>
      </w:r>
      <w:r>
        <w:t xml:space="preserve">= 0.327,</w:t>
      </w:r>
      <w:r>
        <w:t xml:space="preserve"> </w:t>
      </w:r>
      <m:oMath>
        <m:r>
          <m:t>B</m:t>
        </m:r>
        <m:sSub>
          <m:e>
            <m:r>
              <m:t>F</m:t>
            </m:r>
          </m:e>
          <m:sub>
            <m:r>
              <m:t>10</m:t>
            </m:r>
          </m:sub>
        </m:sSub>
      </m:oMath>
      <w:r>
        <w:t xml:space="preserve"> </w:t>
      </w:r>
      <w:r>
        <w:t xml:space="preserve">= 234.421;</w:t>
      </w:r>
      <w:r>
        <w:t xml:space="preserve"> </w:t>
      </w:r>
      <m:oMath>
        <m:r>
          <m:t>F</m:t>
        </m:r>
      </m:oMath>
      <w:r>
        <w:t xml:space="preserve">(2.92,</w:t>
      </w:r>
      <w:r>
        <w:t xml:space="preserve"> </w:t>
      </w:r>
      <w:r>
        <w:t xml:space="preserve">46.716) =</w:t>
      </w:r>
      <w:r>
        <w:t xml:space="preserve"> </w:t>
      </w:r>
      <w:r>
        <w:t xml:space="preserve">3.099,</w:t>
      </w:r>
      <w:r>
        <w:t xml:space="preserve"> </w:t>
      </w:r>
      <w:r>
        <w:t xml:space="preserve">p = 0.037,</w:t>
      </w:r>
      <w:r>
        <w:t xml:space="preserve"> </w:t>
      </w:r>
      <m:oMath>
        <m:sSubSup>
          <m:e>
            <m:r>
              <m:t>η</m:t>
            </m:r>
          </m:e>
          <m:sub>
            <m:r>
              <m:t>p</m:t>
            </m:r>
          </m:sub>
          <m:sup>
            <m:r>
              <m:t>2</m:t>
            </m:r>
          </m:sup>
        </m:sSubSup>
      </m:oMath>
      <w:r>
        <w:t xml:space="preserve"> </w:t>
      </w:r>
      <w:r>
        <w:t xml:space="preserve">= 0.162,</w:t>
      </w:r>
      <w:r>
        <w:t xml:space="preserve"> </w:t>
      </w:r>
      <m:oMath>
        <m:r>
          <m:t>B</m:t>
        </m:r>
        <m:sSub>
          <m:e>
            <m:r>
              <m:t>F</m:t>
            </m:r>
          </m:e>
          <m:sub>
            <m:r>
              <m:t>10</m:t>
            </m:r>
          </m:sub>
        </m:sSub>
      </m:oMath>
      <w:r>
        <w:t xml:space="preserve"> </w:t>
      </w:r>
      <w:r>
        <w:t xml:space="preserve">= 1.852).</w:t>
      </w:r>
    </w:p>
    <w:p>
      <w:pPr>
        <w:pStyle w:val="BodyText"/>
      </w:pPr>
      <w:r>
        <w:t xml:space="preserve">The UVF produces larger pupil dilation than the left and Right VFs</w:t>
      </w:r>
      <w:r>
        <w:t xml:space="preserve"> </w:t>
      </w:r>
      <w:r>
        <w:t xml:space="preserve">(</w:t>
      </w:r>
      <m:oMath>
        <m:r>
          <m:t>t</m:t>
        </m:r>
      </m:oMath>
      <w:r>
        <w:t xml:space="preserve">(16) =</w:t>
      </w:r>
      <w:r>
        <w:t xml:space="preserve"> </w:t>
      </w:r>
      <w:r>
        <w:t xml:space="preserve">4.086,</w:t>
      </w:r>
      <w:r>
        <w:t xml:space="preserve"> </w:t>
      </w:r>
      <m:oMath>
        <m:r>
          <m:t>p</m:t>
        </m:r>
      </m:oMath>
      <w:r>
        <w:t xml:space="preserve"> </w:t>
      </w:r>
      <w:r>
        <w:t xml:space="preserve">= 0.005 for upper vs. left;</w:t>
      </w:r>
      <w:r>
        <w:t xml:space="preserve"> </w:t>
      </w:r>
      <m:oMath>
        <m:r>
          <m:t>t</m:t>
        </m:r>
      </m:oMath>
      <w:r>
        <w:t xml:space="preserve">(16) =</w:t>
      </w:r>
      <w:r>
        <w:t xml:space="preserve"> </w:t>
      </w:r>
      <w:r>
        <w:t xml:space="preserve">3.399,</w:t>
      </w:r>
      <w:r>
        <w:t xml:space="preserve"> </w:t>
      </w:r>
      <m:oMath>
        <m:r>
          <m:t>p</m:t>
        </m:r>
      </m:oMath>
      <w:r>
        <w:t xml:space="preserve"> </w:t>
      </w:r>
      <w:r>
        <w:t xml:space="preserve">= 0.011 for upper vs. Lower;</w:t>
      </w:r>
      <w:r>
        <w:t xml:space="preserve"> </w:t>
      </w:r>
      <m:oMath>
        <m:r>
          <m:t>t</m:t>
        </m:r>
      </m:oMath>
      <w:r>
        <w:t xml:space="preserve">(16) =</w:t>
      </w:r>
      <w:r>
        <w:t xml:space="preserve"> </w:t>
      </w:r>
      <w:r>
        <w:t xml:space="preserve">2.622,</w:t>
      </w:r>
      <w:r>
        <w:t xml:space="preserve"> </w:t>
      </w:r>
      <m:oMath>
        <m:r>
          <m:t>p</m:t>
        </m:r>
      </m:oMath>
      <w:r>
        <w:t xml:space="preserve"> </w:t>
      </w:r>
      <w:r>
        <w:t xml:space="preserve">= 0.055 for upper vs.left;</w:t>
      </w:r>
      <w:r>
        <w:t xml:space="preserve"> </w:t>
      </w:r>
      <m:oMath>
        <m:r>
          <m:t>t</m:t>
        </m:r>
      </m:oMath>
      <w:r>
        <w:t xml:space="preserve">(16) =</w:t>
      </w:r>
      <w:r>
        <w:t xml:space="preserve"> </w:t>
      </w:r>
      <w:r>
        <w:t xml:space="preserve">2.357,</w:t>
      </w:r>
      <w:r>
        <w:t xml:space="preserve"> </w:t>
      </w:r>
      <m:oMath>
        <m:r>
          <m:t>p</m:t>
        </m:r>
      </m:oMath>
      <w:r>
        <w:t xml:space="preserve"> </w:t>
      </w:r>
      <w:r>
        <w:t xml:space="preserve">= 0.095 for upper vs.left;</w:t>
      </w:r>
      <w:r>
        <w:t xml:space="preserve"> </w:t>
      </w:r>
      <m:oMath>
        <m:r>
          <m:t>t</m:t>
        </m:r>
      </m:oMath>
      <w:r>
        <w:t xml:space="preserve">(16) =</w:t>
      </w:r>
      <w:r>
        <w:t xml:space="preserve"> </w:t>
      </w:r>
      <w:r>
        <w:t xml:space="preserve">1.554,</w:t>
      </w:r>
      <w:r>
        <w:t xml:space="preserve"> </w:t>
      </w:r>
      <m:oMath>
        <m:r>
          <m:t>p</m:t>
        </m:r>
      </m:oMath>
      <w:r>
        <w:t xml:space="preserve"> </w:t>
      </w:r>
      <w:r>
        <w:t xml:space="preserve">= 0.28 for upper vs.left;</w:t>
      </w:r>
      <w:r>
        <w:t xml:space="preserve"> </w:t>
      </w:r>
      <w:r>
        <w:t xml:space="preserve">)</w:t>
      </w:r>
    </w:p>
    <w:p>
      <w:pPr>
        <w:pStyle w:val="BodyText"/>
      </w:pPr>
      <w:r>
        <w:t xml:space="preserve">(</w:t>
      </w:r>
      <m:oMath>
        <m:r>
          <m:t>t</m:t>
        </m:r>
      </m:oMath>
      <w:r>
        <w:t xml:space="preserve">(16) =</w:t>
      </w:r>
      <w:r>
        <w:t xml:space="preserve"> </w:t>
      </w:r>
      <w:r>
        <w:t xml:space="preserve">5.518,</w:t>
      </w:r>
      <w:r>
        <w:t xml:space="preserve"> </w:t>
      </w:r>
      <m:oMath>
        <m:r>
          <m:t>p</m:t>
        </m:r>
      </m:oMath>
      <w:r>
        <w:t xml:space="preserve"> </w:t>
      </w:r>
      <w:r>
        <w:t xml:space="preserve">= 0.032,</w:t>
      </w:r>
      <w:r>
        <w:t xml:space="preserve"> </w:t>
      </w:r>
      <m:oMath>
        <m:sSubSup>
          <m:e>
            <m:r>
              <m:t>η</m:t>
            </m:r>
          </m:e>
          <m:sub>
            <m:r>
              <m:t>p</m:t>
            </m:r>
          </m:sub>
          <m:sup>
            <m:r>
              <m:t>2</m:t>
            </m:r>
          </m:sup>
        </m:sSubSup>
      </m:oMath>
      <w:r>
        <w:t xml:space="preserve"> </w:t>
      </w:r>
      <w:r>
        <w:t xml:space="preserve">= 0.256 for Upper;</w:t>
      </w:r>
      <w:r>
        <w:t xml:space="preserve"> </w:t>
      </w:r>
      <m:oMath>
        <m:r>
          <m:t>t</m:t>
        </m:r>
      </m:oMath>
      <w:r>
        <w:t xml:space="preserve">(16) =</w:t>
      </w:r>
      <w:r>
        <w:t xml:space="preserve"> </w:t>
      </w:r>
      <w:r>
        <w:t xml:space="preserve">1.084,</w:t>
      </w:r>
      <w:r>
        <w:t xml:space="preserve"> </w:t>
      </w:r>
      <m:oMath>
        <m:r>
          <m:t>p</m:t>
        </m:r>
      </m:oMath>
      <w:r>
        <w:t xml:space="preserve"> </w:t>
      </w:r>
      <w:r>
        <w:t xml:space="preserve">= 0.313,</w:t>
      </w:r>
      <w:r>
        <w:t xml:space="preserve"> </w:t>
      </w:r>
      <m:oMath>
        <m:sSubSup>
          <m:e>
            <m:r>
              <m:t>η</m:t>
            </m:r>
          </m:e>
          <m:sub>
            <m:r>
              <m:t>p</m:t>
            </m:r>
          </m:sub>
          <m:sup>
            <m:r>
              <m:t>2</m:t>
            </m:r>
          </m:sup>
        </m:sSubSup>
      </m:oMath>
      <w:r>
        <w:t xml:space="preserve"> </w:t>
      </w:r>
      <w:r>
        <w:t xml:space="preserve">= 0.063 for Lower;</w:t>
      </w:r>
      <w:r>
        <w:t xml:space="preserve"> </w:t>
      </w:r>
      <m:oMath>
        <m:r>
          <m:t>t</m:t>
        </m:r>
      </m:oMath>
      <w:r>
        <w:t xml:space="preserve">(16) =</w:t>
      </w:r>
      <w:r>
        <w:t xml:space="preserve"> </w:t>
      </w:r>
      <w:r>
        <w:t xml:space="preserve">1.362,</w:t>
      </w:r>
      <w:r>
        <w:t xml:space="preserve"> </w:t>
      </w:r>
      <m:oMath>
        <m:r>
          <m:t>p</m:t>
        </m:r>
      </m:oMath>
      <w:r>
        <w:t xml:space="preserve"> </w:t>
      </w:r>
      <w:r>
        <w:t xml:space="preserve">= 0.26,</w:t>
      </w:r>
      <w:r>
        <w:t xml:space="preserve"> </w:t>
      </w:r>
      <m:oMath>
        <m:sSubSup>
          <m:e>
            <m:r>
              <m:t>η</m:t>
            </m:r>
          </m:e>
          <m:sub>
            <m:r>
              <m:t>p</m:t>
            </m:r>
          </m:sub>
          <m:sup>
            <m:r>
              <m:t>2</m:t>
            </m:r>
          </m:sup>
        </m:sSubSup>
      </m:oMath>
      <w:r>
        <w:t xml:space="preserve"> </w:t>
      </w:r>
      <w:r>
        <w:t xml:space="preserve">= 0.078 for Left;</w:t>
      </w:r>
      <w:r>
        <w:t xml:space="preserve"> </w:t>
      </w:r>
      <m:oMath>
        <m:r>
          <m:t>t</m:t>
        </m:r>
      </m:oMath>
      <w:r>
        <w:t xml:space="preserve">(16) =</w:t>
      </w:r>
      <w:r>
        <w:t xml:space="preserve"> </w:t>
      </w:r>
      <w:r>
        <w:t xml:space="preserve">0.127,</w:t>
      </w:r>
      <w:r>
        <w:t xml:space="preserve"> </w:t>
      </w:r>
      <m:oMath>
        <m:r>
          <m:t>p</m:t>
        </m:r>
      </m:oMath>
      <w:r>
        <w:t xml:space="preserve"> </w:t>
      </w:r>
      <w:r>
        <w:t xml:space="preserve">= 0.726,</w:t>
      </w:r>
      <w:r>
        <w:t xml:space="preserve"> </w:t>
      </w:r>
      <m:oMath>
        <m:sSubSup>
          <m:e>
            <m:r>
              <m:t>η</m:t>
            </m:r>
          </m:e>
          <m:sub>
            <m:r>
              <m:t>p</m:t>
            </m:r>
          </m:sub>
          <m:sup>
            <m:r>
              <m:t>2</m:t>
            </m:r>
          </m:sup>
        </m:sSubSup>
      </m:oMath>
      <w:r>
        <w:t xml:space="preserve"> </w:t>
      </w:r>
      <w:r>
        <w:t xml:space="preserve">= 0.008 for Right</w:t>
      </w:r>
      <w:r>
        <w:t xml:space="preserve"> </w:t>
      </w:r>
      <w:r>
        <w:t xml:space="preserve">)</w:t>
      </w:r>
    </w:p>
    <w:p>
      <w:pPr>
        <w:pStyle w:val="BodyText"/>
      </w:pPr>
      <w:r>
        <w:t xml:space="preserve">in line with the previous studies</w:t>
      </w:r>
      <w:r>
        <w:t xml:space="preserve"> </w:t>
      </w:r>
      <w:r>
        <w:rPr>
          <w:bCs/>
          <w:b/>
        </w:rPr>
        <w:t xml:space="preserve">(Hong et al., 2001; Sabeti et al., 2011; Tan et al., 2001; Wilhelm et al., 2000)</w:t>
      </w:r>
      <w:r>
        <w:t xml:space="preserve">.</w:t>
      </w:r>
    </w:p>
    <w:p>
      <w:pPr>
        <w:pStyle w:val="BodyText"/>
      </w:pPr>
      <w:r>
        <w:t xml:space="preserve">For the Center condition,</w:t>
      </w:r>
      <w:r>
        <w:t xml:space="preserve"> </w:t>
      </w:r>
      <w:r>
        <w:t xml:space="preserve">(</w:t>
      </w:r>
      <m:oMath>
        <m:r>
          <m:t>t</m:t>
        </m:r>
      </m:oMath>
      <w:r>
        <w:t xml:space="preserve">(16) =</w:t>
      </w:r>
      <w:r>
        <w:t xml:space="preserve"> </w:t>
      </w:r>
      <w:r>
        <w:t xml:space="preserve">-2.016,</w:t>
      </w:r>
      <w:r>
        <w:t xml:space="preserve"> </w:t>
      </w:r>
      <m:oMath>
        <m:r>
          <m:t>p</m:t>
        </m:r>
      </m:oMath>
      <w:r>
        <w:t xml:space="preserve"> </w:t>
      </w:r>
      <w:r>
        <w:t xml:space="preserve">= 0.061,</w:t>
      </w:r>
      <w:r>
        <w:t xml:space="preserve"> </w:t>
      </w:r>
      <w:r>
        <w:t xml:space="preserve">Cohen’s</w:t>
      </w:r>
      <w:r>
        <w:t xml:space="preserve"> </w:t>
      </w:r>
      <m:oMath>
        <m:sSub>
          <m:e>
            <m:r>
              <m:t>d</m:t>
            </m:r>
          </m:e>
          <m:sub>
            <m:r>
              <m:t>z</m:t>
            </m:r>
          </m:sub>
        </m:sSub>
      </m:oMath>
      <w:r>
        <w:t xml:space="preserve"> </w:t>
      </w:r>
      <w:r>
        <w:t xml:space="preserve">= 0.287,</w:t>
      </w:r>
      <w:r>
        <w:t xml:space="preserve"> </w:t>
      </w:r>
      <m:oMath>
        <m:r>
          <m:t>B</m:t>
        </m:r>
        <m:sSub>
          <m:e>
            <m:r>
              <m:t>F</m:t>
            </m:r>
          </m:e>
          <m:sub>
            <m:r>
              <m:t>10</m:t>
            </m:r>
          </m:sub>
        </m:sSub>
      </m:oMath>
      <w:r>
        <w:t xml:space="preserve"> </w:t>
      </w:r>
      <w:r>
        <w:t xml:space="preserve">= 1.264)</w:t>
      </w:r>
    </w:p>
    <w:bookmarkEnd w:id="23"/>
    <w:bookmarkStart w:id="24" w:name="figure-3-1"/>
    <w:p>
      <w:pPr>
        <w:pStyle w:val="Heading2"/>
      </w:pPr>
      <w:r>
        <w:t xml:space="preserve">Figure 3</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note</dc:title>
  <dc:creator>Yuta Suzuki</dc:creator>
  <cp:keywords/>
  <dcterms:created xsi:type="dcterms:W3CDTF">2021-12-05T15:31:40Z</dcterms:created>
  <dcterms:modified xsi:type="dcterms:W3CDTF">2021-12-05T15:31:40Z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December, 2021</vt:lpwstr>
  </property>
  <property fmtid="{D5CDD505-2E9C-101B-9397-08002B2CF9AE}" pid="3" name="output">
    <vt:lpwstr>word_document</vt:lpwstr>
  </property>
  <property fmtid="{D5CDD505-2E9C-101B-9397-08002B2CF9AE}" pid="4" name="params">
    <vt:lpwstr/>
  </property>
</Properties>
</file>