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note</w:t>
      </w:r>
    </w:p>
    <w:p>
      <w:pPr>
        <w:pStyle w:val="Author"/>
      </w:pPr>
      <w:r>
        <w:t xml:space="preserve">Yuta</w:t>
      </w:r>
      <w:r>
        <w:t xml:space="preserve"> </w:t>
      </w:r>
      <w:r>
        <w:t xml:space="preserve">Suzuki</w:t>
      </w:r>
    </w:p>
    <w:p>
      <w:pPr>
        <w:pStyle w:val="Date"/>
      </w:pPr>
      <w:r>
        <w:t xml:space="preserve">09</w:t>
      </w:r>
      <w:r>
        <w:t xml:space="preserve"> </w:t>
      </w:r>
      <w:r>
        <w:t xml:space="preserve">December,</w:t>
      </w:r>
      <w:r>
        <w:t xml:space="preserve"> </w:t>
      </w:r>
      <w:r>
        <w:t xml:space="preserve">2021</w:t>
      </w:r>
    </w:p>
    <w:bookmarkStart w:id="20" w:name="article-information"/>
    <w:p>
      <w:pPr>
        <w:pStyle w:val="Heading2"/>
      </w:pPr>
      <w:r>
        <w:t xml:space="preserve">Article information</w:t>
      </w:r>
    </w:p>
    <w:p>
      <w:pPr>
        <w:pStyle w:val="FirstParagraph"/>
      </w:pPr>
      <w:r>
        <w:t xml:space="preserve">Pupil response asymmetries of the periphery visual field in the glare illusion</w:t>
      </w:r>
    </w:p>
    <w:p>
      <w:pPr>
        <w:pStyle w:val="BodyText"/>
      </w:pPr>
      <w:r>
        <w:t xml:space="preserve">Novera Istiqomah, Yuta Suzuki, Yuya Kinzuka, Minami Tetsuto, Shigeki Nakauchi</w:t>
      </w:r>
    </w:p>
    <w:p>
      <w:pPr>
        <w:pStyle w:val="BodyText"/>
      </w:pPr>
      <w:r>
        <w:t xml:space="preserve">*Corresponding author: Yuta Suzuki</w:t>
      </w:r>
    </w:p>
    <w:bookmarkEnd w:id="20"/>
    <w:bookmarkStart w:id="25" w:name="figure-2"/>
    <w:p>
      <w:pPr>
        <w:pStyle w:val="Heading2"/>
      </w:pPr>
      <w:r>
        <w:t xml:space="preserve">Figure 2</w:t>
      </w:r>
    </w:p>
    <w:p>
      <w:pPr>
        <w:pStyle w:val="FirstParagraph"/>
      </w:pPr>
      <w:r>
        <w:drawing>
          <wp:inline>
            <wp:extent cx="5334000" cy="2051538"/>
            <wp:effectExtent b="0" l="0" r="0" t="0"/>
            <wp:docPr descr="" title="" id="1" name="Picture"/>
            <a:graphic>
              <a:graphicData uri="http://schemas.openxmlformats.org/drawingml/2006/picture">
                <pic:pic>
                  <pic:nvPicPr>
                    <pic:cNvPr descr="figure_files/figure-docx/unnamed-chunk-2-1.png" id="0" name="Picture"/>
                    <pic:cNvPicPr>
                      <a:picLocks noChangeArrowheads="1" noChangeAspect="1"/>
                    </pic:cNvPicPr>
                  </pic:nvPicPr>
                  <pic:blipFill>
                    <a:blip r:embed="rId21"/>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2-2.png" id="0" name="Picture"/>
                    <pic:cNvPicPr>
                      <a:picLocks noChangeArrowheads="1" noChangeAspect="1"/>
                    </pic:cNvPicPr>
                  </pic:nvPicPr>
                  <pic:blipFill>
                    <a:blip r:embed="rId22"/>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2-3.png" id="0" name="Picture"/>
                    <pic:cNvPicPr>
                      <a:picLocks noChangeArrowheads="1" noChangeAspect="1"/>
                    </pic:cNvPicPr>
                  </pic:nvPicPr>
                  <pic:blipFill>
                    <a:blip r:embed="rId23"/>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2-4.png" id="0" name="Picture"/>
                    <pic:cNvPicPr>
                      <a:picLocks noChangeArrowheads="1" noChangeAspect="1"/>
                    </pic:cNvPicPr>
                  </pic:nvPicPr>
                  <pic:blipFill>
                    <a:blip r:embed="rId24"/>
                    <a:stretch>
                      <a:fillRect/>
                    </a:stretch>
                  </pic:blipFill>
                  <pic:spPr bwMode="auto">
                    <a:xfrm>
                      <a:off x="0" y="0"/>
                      <a:ext cx="5334000" cy="2051538"/>
                    </a:xfrm>
                    <a:prstGeom prst="rect">
                      <a:avLst/>
                    </a:prstGeom>
                    <a:noFill/>
                    <a:ln w="9525">
                      <a:noFill/>
                      <a:headEnd/>
                      <a:tailEnd/>
                    </a:ln>
                  </pic:spPr>
                </pic:pic>
              </a:graphicData>
            </a:graphic>
          </wp:inline>
        </w:drawing>
      </w:r>
    </w:p>
    <w:bookmarkEnd w:id="25"/>
    <w:bookmarkStart w:id="30" w:name="figure-3"/>
    <w:p>
      <w:pPr>
        <w:pStyle w:val="Heading2"/>
      </w:pPr>
      <w:r>
        <w:t xml:space="preserve">Figure 3</w:t>
      </w:r>
    </w:p>
    <w:p>
      <w:pPr>
        <w:pStyle w:val="FirstParagraph"/>
      </w:pPr>
      <w:r>
        <w:drawing>
          <wp:inline>
            <wp:extent cx="5334000" cy="2051538"/>
            <wp:effectExtent b="0" l="0" r="0" t="0"/>
            <wp:docPr descr="" title="" id="1" name="Picture"/>
            <a:graphic>
              <a:graphicData uri="http://schemas.openxmlformats.org/drawingml/2006/picture">
                <pic:pic>
                  <pic:nvPicPr>
                    <pic:cNvPr descr="figure_files/figure-docx/unnamed-chunk-4-1.png" id="0" name="Picture"/>
                    <pic:cNvPicPr>
                      <a:picLocks noChangeArrowheads="1" noChangeAspect="1"/>
                    </pic:cNvPicPr>
                  </pic:nvPicPr>
                  <pic:blipFill>
                    <a:blip r:embed="rId26"/>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4-2.png" id="0" name="Picture"/>
                    <pic:cNvPicPr>
                      <a:picLocks noChangeArrowheads="1" noChangeAspect="1"/>
                    </pic:cNvPicPr>
                  </pic:nvPicPr>
                  <pic:blipFill>
                    <a:blip r:embed="rId27"/>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4-3.png" id="0" name="Picture"/>
                    <pic:cNvPicPr>
                      <a:picLocks noChangeArrowheads="1" noChangeAspect="1"/>
                    </pic:cNvPicPr>
                  </pic:nvPicPr>
                  <pic:blipFill>
                    <a:blip r:embed="rId28"/>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4-4.png" id="0" name="Picture"/>
                    <pic:cNvPicPr>
                      <a:picLocks noChangeArrowheads="1" noChangeAspect="1"/>
                    </pic:cNvPicPr>
                  </pic:nvPicPr>
                  <pic:blipFill>
                    <a:blip r:embed="rId29"/>
                    <a:stretch>
                      <a:fillRect/>
                    </a:stretch>
                  </pic:blipFill>
                  <pic:spPr bwMode="auto">
                    <a:xfrm>
                      <a:off x="0" y="0"/>
                      <a:ext cx="5334000" cy="2051538"/>
                    </a:xfrm>
                    <a:prstGeom prst="rect">
                      <a:avLst/>
                    </a:prstGeom>
                    <a:noFill/>
                    <a:ln w="9525">
                      <a:noFill/>
                      <a:headEnd/>
                      <a:tailEnd/>
                    </a:ln>
                  </pic:spPr>
                </pic:pic>
              </a:graphicData>
            </a:graphic>
          </wp:inline>
        </w:drawing>
      </w:r>
    </w:p>
    <w:bookmarkEnd w:id="30"/>
    <w:bookmarkStart w:id="31" w:name="results"/>
    <w:p>
      <w:pPr>
        <w:pStyle w:val="Heading2"/>
      </w:pPr>
      <w:r>
        <w:t xml:space="preserve">Results</w:t>
      </w:r>
    </w:p>
    <w:p>
      <w:pPr>
        <w:pStyle w:val="FirstParagraph"/>
      </w:pPr>
      <w:r>
        <w:t xml:space="preserve">We presented the glare illusion and halo stimuli at one out of five VF locations (i.e., upper, lower, left, right, and center). As reported previously, enhanced pupil constriction in the Center condition was observed shown in Fig.2A</w:t>
      </w:r>
      <w:r>
        <w:t xml:space="preserve"> </w:t>
      </w:r>
      <w:r>
        <w:t xml:space="preserve">(</w:t>
      </w:r>
      <m:oMath>
        <m:r>
          <m:t>t</m:t>
        </m:r>
      </m:oMath>
      <w:r>
        <w:t xml:space="preserve">(16) =</w:t>
      </w:r>
      <w:r>
        <w:t xml:space="preserve"> </w:t>
      </w:r>
      <w:r>
        <w:t xml:space="preserve">-2.665,</w:t>
      </w:r>
      <w:r>
        <w:t xml:space="preserve"> </w:t>
      </w:r>
      <m:oMath>
        <m:r>
          <m:t>p</m:t>
        </m:r>
      </m:oMath>
      <w:r>
        <w:t xml:space="preserve"> </w:t>
      </w:r>
      <w:r>
        <w:t xml:space="preserve">= 0.017,</w:t>
      </w:r>
      <w:r>
        <w:t xml:space="preserve"> </w:t>
      </w:r>
      <w:r>
        <w:t xml:space="preserve">Cohen’s</w:t>
      </w:r>
      <w:r>
        <w:t xml:space="preserve"> </w:t>
      </w:r>
      <m:oMath>
        <m:sSub>
          <m:e>
            <m:r>
              <m:t>d</m:t>
            </m:r>
          </m:e>
          <m:sub>
            <m:r>
              <m:t>z</m:t>
            </m:r>
          </m:sub>
        </m:sSub>
      </m:oMath>
      <w:r>
        <w:t xml:space="preserve"> </w:t>
      </w:r>
      <w:r>
        <w:t xml:space="preserve">= 0.366,</w:t>
      </w:r>
      <w:r>
        <w:t xml:space="preserve"> </w:t>
      </w:r>
      <m:oMath>
        <m:r>
          <m:t>B</m:t>
        </m:r>
        <m:sSub>
          <m:e>
            <m:r>
              <m:t>F</m:t>
            </m:r>
          </m:e>
          <m:sub>
            <m:r>
              <m:t>10</m:t>
            </m:r>
          </m:sub>
        </m:sSub>
      </m:oMath>
      <w:r>
        <w:t xml:space="preserve"> </w:t>
      </w:r>
      <w:r>
        <w:t xml:space="preserve">= 3.487)</w:t>
      </w:r>
    </w:p>
    <w:p>
      <w:pPr>
        <w:pStyle w:val="BodyText"/>
      </w:pPr>
      <w:r>
        <w:t xml:space="preserve">To assess temporal component of papillary response, the early component corresponded to peak pupil constriction after stimulus onset and the late comportment which was defined by are under the curve (AUC) were calculated (see Method). In early component (Fig 3B), pupil constriction to the glare illusion was larger than control pattern as the previous analysis</w:t>
      </w:r>
      <w:r>
        <w:t xml:space="preserve"> </w:t>
      </w:r>
      <w:r>
        <w:t xml:space="preserve">The two-way repeated measures ANOVA revealed a significant main effect on the pattern and VF locations</w:t>
      </w:r>
      <w:r>
        <w:t xml:space="preserve"> </w:t>
      </w:r>
      <w:r>
        <w:t xml:space="preserve">(</w:t>
      </w:r>
      <m:oMath>
        <m:r>
          <m:t>F</m:t>
        </m:r>
      </m:oMath>
      <w:r>
        <w:t xml:space="preserve">(1,</w:t>
      </w:r>
      <w:r>
        <w:t xml:space="preserve"> </w:t>
      </w:r>
      <w:r>
        <w:t xml:space="preserve">16) =</w:t>
      </w:r>
      <w:r>
        <w:t xml:space="preserve"> </w:t>
      </w:r>
      <w:r>
        <w:t xml:space="preserve">2.608,</w:t>
      </w:r>
      <w:r>
        <w:t xml:space="preserve"> </w:t>
      </w:r>
      <w:r>
        <w:t xml:space="preserve">p = 0.126,</w:t>
      </w:r>
      <w:r>
        <w:t xml:space="preserve"> </w:t>
      </w:r>
      <m:oMath>
        <m:sSubSup>
          <m:e>
            <m:r>
              <m:t>η</m:t>
            </m:r>
          </m:e>
          <m:sub>
            <m:r>
              <m:t>p</m:t>
            </m:r>
          </m:sub>
          <m:sup>
            <m:r>
              <m:t>2</m:t>
            </m:r>
          </m:sup>
        </m:sSubSup>
      </m:oMath>
      <w:r>
        <w:t xml:space="preserve"> </w:t>
      </w:r>
      <w:r>
        <w:t xml:space="preserve">= 0.14;</w:t>
      </w:r>
      <w:r>
        <w:t xml:space="preserve"> </w:t>
      </w:r>
      <m:oMath>
        <m:r>
          <m:t>B</m:t>
        </m:r>
        <m:sSub>
          <m:e>
            <m:r>
              <m:t>F</m:t>
            </m:r>
          </m:e>
          <m:sub>
            <m:r>
              <m:t>10</m:t>
            </m:r>
          </m:sub>
        </m:sSub>
      </m:oMath>
      <w:r>
        <w:t xml:space="preserve"> </w:t>
      </w:r>
      <w:r>
        <w:t xml:space="preserve">= 0.42,</w:t>
      </w:r>
      <w:r>
        <w:t xml:space="preserve"> </w:t>
      </w:r>
      <m:oMath>
        <m:r>
          <m:t>F</m:t>
        </m:r>
      </m:oMath>
      <w:r>
        <w:t xml:space="preserve">(2.838,</w:t>
      </w:r>
      <w:r>
        <w:t xml:space="preserve"> </w:t>
      </w:r>
      <w:r>
        <w:t xml:space="preserve">45.403) =</w:t>
      </w:r>
      <w:r>
        <w:t xml:space="preserve"> </w:t>
      </w:r>
      <w:r>
        <w:t xml:space="preserve">6.579,</w:t>
      </w:r>
      <w:r>
        <w:t xml:space="preserve"> </w:t>
      </w:r>
      <w:r>
        <w:t xml:space="preserve">p = 0.001,</w:t>
      </w:r>
      <w:r>
        <w:t xml:space="preserve"> </w:t>
      </w:r>
      <m:oMath>
        <m:sSubSup>
          <m:e>
            <m:r>
              <m:t>η</m:t>
            </m:r>
          </m:e>
          <m:sub>
            <m:r>
              <m:t>p</m:t>
            </m:r>
          </m:sub>
          <m:sup>
            <m:r>
              <m:t>2</m:t>
            </m:r>
          </m:sup>
        </m:sSubSup>
      </m:oMath>
      <w:r>
        <w:t xml:space="preserve"> </w:t>
      </w:r>
      <w:r>
        <w:t xml:space="preserve">= 0.291,</w:t>
      </w:r>
      <w:r>
        <w:t xml:space="preserve"> </w:t>
      </w:r>
      <m:oMath>
        <m:r>
          <m:t>B</m:t>
        </m:r>
        <m:sSub>
          <m:e>
            <m:r>
              <m:t>F</m:t>
            </m:r>
          </m:e>
          <m:sub>
            <m:r>
              <m:t>10</m:t>
            </m:r>
          </m:sub>
        </m:sSub>
      </m:oMath>
      <w:r>
        <w:t xml:space="preserve"> </w:t>
      </w:r>
      <w:r>
        <w:t xml:space="preserve">= 9.143).</w:t>
      </w:r>
      <w:r>
        <w:t xml:space="preserve"> </w:t>
      </w:r>
      <w:r>
        <w:t xml:space="preserve">However, the post-hoc multiple comparisons for the VF locations showed that any pair of VF loaction did not reach the significance level (p &gt; 0.05).</w:t>
      </w:r>
      <w:r>
        <w:t xml:space="preserve"> </w:t>
      </w:r>
      <w:r>
        <w:t xml:space="preserve">There was no significant interaction between the pattern and VF locations</w:t>
      </w:r>
      <w:r>
        <w:t xml:space="preserve"> </w:t>
      </w:r>
      <w:r>
        <w:t xml:space="preserve">(</w:t>
      </w:r>
      <m:oMath>
        <m:r>
          <m:t>F</m:t>
        </m:r>
      </m:oMath>
      <w:r>
        <w:t xml:space="preserve">(2.719,</w:t>
      </w:r>
      <w:r>
        <w:t xml:space="preserve"> </w:t>
      </w:r>
      <w:r>
        <w:t xml:space="preserve">43.498) =</w:t>
      </w:r>
      <w:r>
        <w:t xml:space="preserve"> </w:t>
      </w:r>
      <w:r>
        <w:t xml:space="preserve">0.505,</w:t>
      </w:r>
      <w:r>
        <w:t xml:space="preserve"> </w:t>
      </w:r>
      <w:r>
        <w:t xml:space="preserve">p = 0.663,</w:t>
      </w:r>
      <w:r>
        <w:t xml:space="preserve"> </w:t>
      </w:r>
      <m:oMath>
        <m:sSubSup>
          <m:e>
            <m:r>
              <m:t>η</m:t>
            </m:r>
          </m:e>
          <m:sub>
            <m:r>
              <m:t>p</m:t>
            </m:r>
          </m:sub>
          <m:sup>
            <m:r>
              <m:t>2</m:t>
            </m:r>
          </m:sup>
        </m:sSubSup>
      </m:oMath>
      <w:r>
        <w:t xml:space="preserve"> </w:t>
      </w:r>
      <w:r>
        <w:t xml:space="preserve">= 0.031,</w:t>
      </w:r>
      <w:r>
        <w:t xml:space="preserve"> </w:t>
      </w:r>
      <m:oMath>
        <m:r>
          <m:t>B</m:t>
        </m:r>
        <m:sSub>
          <m:e>
            <m:r>
              <m:t>F</m:t>
            </m:r>
          </m:e>
          <m:sub>
            <m:r>
              <m:t>10</m:t>
            </m:r>
          </m:sub>
        </m:sSub>
      </m:oMath>
      <w:r>
        <w:t xml:space="preserve"> </w:t>
      </w:r>
      <w:r>
        <w:t xml:space="preserve">= 0.152).</w:t>
      </w:r>
    </w:p>
    <w:p>
      <w:pPr>
        <w:pStyle w:val="BodyText"/>
      </w:pPr>
      <w:r>
        <w:t xml:space="preserve">For the Center condition,</w:t>
      </w:r>
      <w:r>
        <w:t xml:space="preserve"> </w:t>
      </w:r>
      <w:r>
        <w:t xml:space="preserve">(</w:t>
      </w:r>
      <m:oMath>
        <m:r>
          <m:t>t</m:t>
        </m:r>
      </m:oMath>
      <w:r>
        <w:t xml:space="preserve">(16) =</w:t>
      </w:r>
      <w:r>
        <w:t xml:space="preserve"> </w:t>
      </w:r>
      <w:r>
        <w:t xml:space="preserve">-1.856,</w:t>
      </w:r>
      <w:r>
        <w:t xml:space="preserve"> </w:t>
      </w:r>
      <m:oMath>
        <m:r>
          <m:t>p</m:t>
        </m:r>
      </m:oMath>
      <w:r>
        <w:t xml:space="preserve"> </w:t>
      </w:r>
      <w:r>
        <w:t xml:space="preserve">= 0.082,</w:t>
      </w:r>
      <w:r>
        <w:t xml:space="preserve"> </w:t>
      </w:r>
      <w:r>
        <w:t xml:space="preserve">Cohen’s</w:t>
      </w:r>
      <w:r>
        <w:t xml:space="preserve"> </w:t>
      </w:r>
      <m:oMath>
        <m:sSub>
          <m:e>
            <m:r>
              <m:t>d</m:t>
            </m:r>
          </m:e>
          <m:sub>
            <m:r>
              <m:t>z</m:t>
            </m:r>
          </m:sub>
        </m:sSub>
      </m:oMath>
      <w:r>
        <w:t xml:space="preserve"> </w:t>
      </w:r>
      <w:r>
        <w:t xml:space="preserve">= 0.314,</w:t>
      </w:r>
      <w:r>
        <w:t xml:space="preserve"> </w:t>
      </w:r>
      <m:oMath>
        <m:r>
          <m:t>B</m:t>
        </m:r>
        <m:sSub>
          <m:e>
            <m:r>
              <m:t>F</m:t>
            </m:r>
          </m:e>
          <m:sub>
            <m:r>
              <m:t>10</m:t>
            </m:r>
          </m:sub>
        </m:sSub>
      </m:oMath>
      <w:r>
        <w:t xml:space="preserve"> </w:t>
      </w:r>
      <w:r>
        <w:t xml:space="preserve">= 1.008)</w:t>
      </w:r>
    </w:p>
    <w:p>
      <w:pPr>
        <w:pStyle w:val="BodyText"/>
      </w:pPr>
      <w:r>
        <w:t xml:space="preserve">The two-way repeated measures ANOVA revealed a significant main effect on the VF location and interaction</w:t>
      </w:r>
      <w:r>
        <w:t xml:space="preserve"> </w:t>
      </w:r>
      <w:r>
        <w:t xml:space="preserve">(</w:t>
      </w:r>
      <m:oMath>
        <m:r>
          <m:t>F</m:t>
        </m:r>
      </m:oMath>
      <w:r>
        <w:t xml:space="preserve">(2.193,</w:t>
      </w:r>
      <w:r>
        <w:t xml:space="preserve"> </w:t>
      </w:r>
      <w:r>
        <w:t xml:space="preserve">35.082) =</w:t>
      </w:r>
      <w:r>
        <w:t xml:space="preserve"> </w:t>
      </w:r>
      <w:r>
        <w:t xml:space="preserve">3.724,</w:t>
      </w:r>
      <w:r>
        <w:t xml:space="preserve"> </w:t>
      </w:r>
      <w:r>
        <w:t xml:space="preserve">p = 0.031,</w:t>
      </w:r>
      <w:r>
        <w:t xml:space="preserve"> </w:t>
      </w:r>
      <m:oMath>
        <m:sSubSup>
          <m:e>
            <m:r>
              <m:t>η</m:t>
            </m:r>
          </m:e>
          <m:sub>
            <m:r>
              <m:t>p</m:t>
            </m:r>
          </m:sub>
          <m:sup>
            <m:r>
              <m:t>2</m:t>
            </m:r>
          </m:sup>
        </m:sSubSup>
      </m:oMath>
      <w:r>
        <w:t xml:space="preserve"> </w:t>
      </w:r>
      <w:r>
        <w:t xml:space="preserve">= 0.189,</w:t>
      </w:r>
      <w:r>
        <w:t xml:space="preserve"> </w:t>
      </w:r>
      <m:oMath>
        <m:r>
          <m:t>B</m:t>
        </m:r>
        <m:sSub>
          <m:e>
            <m:r>
              <m:t>F</m:t>
            </m:r>
          </m:e>
          <m:sub>
            <m:r>
              <m:t>10</m:t>
            </m:r>
          </m:sub>
        </m:sSub>
      </m:oMath>
      <w:r>
        <w:t xml:space="preserve"> </w:t>
      </w:r>
      <w:r>
        <w:t xml:space="preserve">= 7.559;</w:t>
      </w:r>
      <w:r>
        <w:t xml:space="preserve"> </w:t>
      </w:r>
      <m:oMath>
        <m:r>
          <m:t>F</m:t>
        </m:r>
      </m:oMath>
      <w:r>
        <w:t xml:space="preserve">(2.845,</w:t>
      </w:r>
      <w:r>
        <w:t xml:space="preserve"> </w:t>
      </w:r>
      <w:r>
        <w:t xml:space="preserve">45.52) =</w:t>
      </w:r>
      <w:r>
        <w:t xml:space="preserve"> </w:t>
      </w:r>
      <w:r>
        <w:t xml:space="preserve">3.635,</w:t>
      </w:r>
      <w:r>
        <w:t xml:space="preserve"> </w:t>
      </w:r>
      <w:r>
        <w:t xml:space="preserve">p = 0.021,</w:t>
      </w:r>
      <w:r>
        <w:t xml:space="preserve"> </w:t>
      </w:r>
      <m:oMath>
        <m:sSubSup>
          <m:e>
            <m:r>
              <m:t>η</m:t>
            </m:r>
          </m:e>
          <m:sub>
            <m:r>
              <m:t>p</m:t>
            </m:r>
          </m:sub>
          <m:sup>
            <m:r>
              <m:t>2</m:t>
            </m:r>
          </m:sup>
        </m:sSubSup>
      </m:oMath>
      <w:r>
        <w:t xml:space="preserve"> </w:t>
      </w:r>
      <w:r>
        <w:t xml:space="preserve">= 0.185,</w:t>
      </w:r>
      <w:r>
        <w:t xml:space="preserve"> </w:t>
      </w:r>
      <m:oMath>
        <m:r>
          <m:t>B</m:t>
        </m:r>
        <m:sSub>
          <m:e>
            <m:r>
              <m:t>F</m:t>
            </m:r>
          </m:e>
          <m:sub>
            <m:r>
              <m:t>10</m:t>
            </m:r>
          </m:sub>
        </m:sSub>
      </m:oMath>
      <w:r>
        <w:t xml:space="preserve"> </w:t>
      </w:r>
      <w:r>
        <w:t xml:space="preserve">= 1.873).</w:t>
      </w:r>
    </w:p>
    <w:p>
      <w:pPr>
        <w:pStyle w:val="BodyText"/>
      </w:pPr>
      <w:r>
        <w:t xml:space="preserve">The UVF produces larger pupil dilation than the left and Right VFs</w:t>
      </w:r>
      <w:r>
        <w:t xml:space="preserve"> </w:t>
      </w:r>
      <w:r>
        <w:t xml:space="preserve">(</w:t>
      </w:r>
      <m:oMath>
        <m:r>
          <m:t>t</m:t>
        </m:r>
      </m:oMath>
      <w:r>
        <w:t xml:space="preserve">(16) =</w:t>
      </w:r>
      <w:r>
        <w:t xml:space="preserve"> </w:t>
      </w:r>
      <w:r>
        <w:t xml:space="preserve">3.672,</w:t>
      </w:r>
      <w:r>
        <w:t xml:space="preserve"> </w:t>
      </w:r>
      <m:oMath>
        <m:r>
          <m:t>p</m:t>
        </m:r>
      </m:oMath>
      <w:r>
        <w:t xml:space="preserve"> </w:t>
      </w:r>
      <w:r>
        <w:t xml:space="preserve">= 0.012 for upper vs. left;</w:t>
      </w:r>
      <w:r>
        <w:t xml:space="preserve"> </w:t>
      </w:r>
      <m:oMath>
        <m:r>
          <m:t>t</m:t>
        </m:r>
      </m:oMath>
      <w:r>
        <w:t xml:space="preserve">(16) =</w:t>
      </w:r>
      <w:r>
        <w:t xml:space="preserve"> </w:t>
      </w:r>
      <w:r>
        <w:t xml:space="preserve">2.196,</w:t>
      </w:r>
      <w:r>
        <w:t xml:space="preserve"> </w:t>
      </w:r>
      <m:oMath>
        <m:r>
          <m:t>p</m:t>
        </m:r>
      </m:oMath>
      <w:r>
        <w:t xml:space="preserve"> </w:t>
      </w:r>
      <w:r>
        <w:t xml:space="preserve">= 0.13 for upper vs. Lower;</w:t>
      </w:r>
      <w:r>
        <w:t xml:space="preserve"> </w:t>
      </w:r>
      <m:oMath>
        <m:r>
          <m:t>t</m:t>
        </m:r>
      </m:oMath>
      <w:r>
        <w:t xml:space="preserve">(16) =</w:t>
      </w:r>
      <w:r>
        <w:t xml:space="preserve"> </w:t>
      </w:r>
      <w:r>
        <w:t xml:space="preserve">1.751,</w:t>
      </w:r>
      <w:r>
        <w:t xml:space="preserve"> </w:t>
      </w:r>
      <m:oMath>
        <m:r>
          <m:t>p</m:t>
        </m:r>
      </m:oMath>
      <w:r>
        <w:t xml:space="preserve"> </w:t>
      </w:r>
      <w:r>
        <w:t xml:space="preserve">= 0.297 for upper vs.left;</w:t>
      </w:r>
      <w:r>
        <w:t xml:space="preserve"> </w:t>
      </w:r>
      <m:oMath>
        <m:r>
          <m:t>t</m:t>
        </m:r>
      </m:oMath>
      <w:r>
        <w:t xml:space="preserve">(16) =</w:t>
      </w:r>
      <w:r>
        <w:t xml:space="preserve"> </w:t>
      </w:r>
      <w:r>
        <w:t xml:space="preserve">1.367,</w:t>
      </w:r>
      <w:r>
        <w:t xml:space="preserve"> </w:t>
      </w:r>
      <m:oMath>
        <m:r>
          <m:t>p</m:t>
        </m:r>
      </m:oMath>
      <w:r>
        <w:t xml:space="preserve"> </w:t>
      </w:r>
      <w:r>
        <w:t xml:space="preserve">= 0.572 for upper vs.left;</w:t>
      </w:r>
      <w:r>
        <w:t xml:space="preserve"> </w:t>
      </w:r>
      <m:oMath>
        <m:r>
          <m:t>t</m:t>
        </m:r>
      </m:oMath>
      <w:r>
        <w:t xml:space="preserve">(16) =</w:t>
      </w:r>
      <w:r>
        <w:t xml:space="preserve"> </w:t>
      </w:r>
      <w:r>
        <w:t xml:space="preserve">1.257,</w:t>
      </w:r>
      <w:r>
        <w:t xml:space="preserve"> </w:t>
      </w:r>
      <m:oMath>
        <m:r>
          <m:t>p</m:t>
        </m:r>
      </m:oMath>
      <w:r>
        <w:t xml:space="preserve"> </w:t>
      </w:r>
      <w:r>
        <w:t xml:space="preserve">= 0.572 for upper vs.left;</w:t>
      </w:r>
      <w:r>
        <w:t xml:space="preserve"> </w:t>
      </w:r>
      <w:r>
        <w:t xml:space="preserve">)</w:t>
      </w:r>
    </w:p>
    <w:p>
      <w:pPr>
        <w:pStyle w:val="BodyText"/>
      </w:pPr>
      <w:r>
        <w:t xml:space="preserve">(</w:t>
      </w:r>
      <m:oMath>
        <m:r>
          <m:t>t</m:t>
        </m:r>
      </m:oMath>
      <w:r>
        <w:t xml:space="preserve">(16) =</w:t>
      </w:r>
      <w:r>
        <w:t xml:space="preserve"> </w:t>
      </w:r>
      <w:r>
        <w:t xml:space="preserve">8.793,</w:t>
      </w:r>
      <w:r>
        <w:t xml:space="preserve"> </w:t>
      </w:r>
      <m:oMath>
        <m:r>
          <m:t>p</m:t>
        </m:r>
      </m:oMath>
      <w:r>
        <w:t xml:space="preserve"> </w:t>
      </w:r>
      <w:r>
        <w:t xml:space="preserve">= 0.009,</w:t>
      </w:r>
      <w:r>
        <w:t xml:space="preserve"> </w:t>
      </w:r>
      <m:oMath>
        <m:sSubSup>
          <m:e>
            <m:r>
              <m:t>η</m:t>
            </m:r>
          </m:e>
          <m:sub>
            <m:r>
              <m:t>p</m:t>
            </m:r>
          </m:sub>
          <m:sup>
            <m:r>
              <m:t>2</m:t>
            </m:r>
          </m:sup>
        </m:sSubSup>
      </m:oMath>
      <w:r>
        <w:t xml:space="preserve"> </w:t>
      </w:r>
      <w:r>
        <w:t xml:space="preserve">= 0.355 for Upper;</w:t>
      </w:r>
      <w:r>
        <w:t xml:space="preserve"> </w:t>
      </w:r>
      <m:oMath>
        <m:r>
          <m:t>t</m:t>
        </m:r>
      </m:oMath>
      <w:r>
        <w:t xml:space="preserve">(16) =</w:t>
      </w:r>
      <w:r>
        <w:t xml:space="preserve"> </w:t>
      </w:r>
      <w:r>
        <w:t xml:space="preserve">0.427,</w:t>
      </w:r>
      <w:r>
        <w:t xml:space="preserve"> </w:t>
      </w:r>
      <m:oMath>
        <m:r>
          <m:t>p</m:t>
        </m:r>
      </m:oMath>
      <w:r>
        <w:t xml:space="preserve"> </w:t>
      </w:r>
      <w:r>
        <w:t xml:space="preserve">= 0.523,</w:t>
      </w:r>
      <w:r>
        <w:t xml:space="preserve"> </w:t>
      </w:r>
      <m:oMath>
        <m:sSubSup>
          <m:e>
            <m:r>
              <m:t>η</m:t>
            </m:r>
          </m:e>
          <m:sub>
            <m:r>
              <m:t>p</m:t>
            </m:r>
          </m:sub>
          <m:sup>
            <m:r>
              <m:t>2</m:t>
            </m:r>
          </m:sup>
        </m:sSubSup>
      </m:oMath>
      <w:r>
        <w:t xml:space="preserve"> </w:t>
      </w:r>
      <w:r>
        <w:t xml:space="preserve">= 0.026 for Lower;</w:t>
      </w:r>
      <w:r>
        <w:t xml:space="preserve"> </w:t>
      </w:r>
      <m:oMath>
        <m:r>
          <m:t>t</m:t>
        </m:r>
      </m:oMath>
      <w:r>
        <w:t xml:space="preserve">(16) =</w:t>
      </w:r>
      <w:r>
        <w:t xml:space="preserve"> </w:t>
      </w:r>
      <w:r>
        <w:t xml:space="preserve">2.693,</w:t>
      </w:r>
      <w:r>
        <w:t xml:space="preserve"> </w:t>
      </w:r>
      <m:oMath>
        <m:r>
          <m:t>p</m:t>
        </m:r>
      </m:oMath>
      <w:r>
        <w:t xml:space="preserve"> </w:t>
      </w:r>
      <w:r>
        <w:t xml:space="preserve">= 0.12,</w:t>
      </w:r>
      <w:r>
        <w:t xml:space="preserve"> </w:t>
      </w:r>
      <m:oMath>
        <m:sSubSup>
          <m:e>
            <m:r>
              <m:t>η</m:t>
            </m:r>
          </m:e>
          <m:sub>
            <m:r>
              <m:t>p</m:t>
            </m:r>
          </m:sub>
          <m:sup>
            <m:r>
              <m:t>2</m:t>
            </m:r>
          </m:sup>
        </m:sSubSup>
      </m:oMath>
      <w:r>
        <w:t xml:space="preserve"> </w:t>
      </w:r>
      <w:r>
        <w:t xml:space="preserve">= 0.144 for Left;</w:t>
      </w:r>
      <w:r>
        <w:t xml:space="preserve"> </w:t>
      </w:r>
      <m:oMath>
        <m:r>
          <m:t>t</m:t>
        </m:r>
      </m:oMath>
      <w:r>
        <w:t xml:space="preserve">(16) =</w:t>
      </w:r>
      <w:r>
        <w:t xml:space="preserve"> </w:t>
      </w:r>
      <w:r>
        <w:t xml:space="preserve">0.838,</w:t>
      </w:r>
      <w:r>
        <w:t xml:space="preserve"> </w:t>
      </w:r>
      <m:oMath>
        <m:r>
          <m:t>p</m:t>
        </m:r>
      </m:oMath>
      <w:r>
        <w:t xml:space="preserve"> </w:t>
      </w:r>
      <w:r>
        <w:t xml:space="preserve">= 0.374,</w:t>
      </w:r>
      <w:r>
        <w:t xml:space="preserve"> </w:t>
      </w:r>
      <m:oMath>
        <m:sSubSup>
          <m:e>
            <m:r>
              <m:t>η</m:t>
            </m:r>
          </m:e>
          <m:sub>
            <m:r>
              <m:t>p</m:t>
            </m:r>
          </m:sub>
          <m:sup>
            <m:r>
              <m:t>2</m:t>
            </m:r>
          </m:sup>
        </m:sSubSup>
      </m:oMath>
      <w:r>
        <w:t xml:space="preserve"> </w:t>
      </w:r>
      <w:r>
        <w:t xml:space="preserve">= 0.05 for Right</w:t>
      </w:r>
      <w:r>
        <w:t xml:space="preserve"> </w:t>
      </w:r>
      <w:r>
        <w:t xml:space="preserve">)</w:t>
      </w:r>
    </w:p>
    <w:p>
      <w:pPr>
        <w:pStyle w:val="BodyText"/>
      </w:pPr>
      <w:r>
        <w:t xml:space="preserve">in line with the previous studies</w:t>
      </w:r>
      <w:r>
        <w:t xml:space="preserve"> </w:t>
      </w:r>
      <w:r>
        <w:rPr>
          <w:bCs/>
          <w:b/>
        </w:rPr>
        <w:t xml:space="preserve">(Hong et al., 2001; Sabeti et al., 2011; Tan et al., 2001; Wilhelm et al., 2000)</w:t>
      </w:r>
      <w:r>
        <w:t xml:space="preserve">.</w:t>
      </w:r>
    </w:p>
    <w:p>
      <w:pPr>
        <w:pStyle w:val="BodyText"/>
      </w:pPr>
      <w:r>
        <w:t xml:space="preserve">For the Center condition,</w:t>
      </w:r>
      <w:r>
        <w:t xml:space="preserve"> </w:t>
      </w:r>
      <w:r>
        <w:t xml:space="preserve">(</w:t>
      </w:r>
      <m:oMath>
        <m:r>
          <m:t>t</m:t>
        </m:r>
      </m:oMath>
      <w:r>
        <w:t xml:space="preserve">(16) =</w:t>
      </w:r>
      <w:r>
        <w:t xml:space="preserve"> </w:t>
      </w:r>
      <w:r>
        <w:t xml:space="preserve">-2.164,</w:t>
      </w:r>
      <w:r>
        <w:t xml:space="preserve"> </w:t>
      </w:r>
      <m:oMath>
        <m:r>
          <m:t>p</m:t>
        </m:r>
      </m:oMath>
      <w:r>
        <w:t xml:space="preserve"> </w:t>
      </w:r>
      <w:r>
        <w:t xml:space="preserve">= 0.046,</w:t>
      </w:r>
      <w:r>
        <w:t xml:space="preserve"> </w:t>
      </w:r>
      <w:r>
        <w:t xml:space="preserve">Cohen’s</w:t>
      </w:r>
      <w:r>
        <w:t xml:space="preserve"> </w:t>
      </w:r>
      <m:oMath>
        <m:sSub>
          <m:e>
            <m:r>
              <m:t>d</m:t>
            </m:r>
          </m:e>
          <m:sub>
            <m:r>
              <m:t>z</m:t>
            </m:r>
          </m:sub>
        </m:sSub>
      </m:oMath>
      <w:r>
        <w:t xml:space="preserve"> </w:t>
      </w:r>
      <w:r>
        <w:t xml:space="preserve">= 0.359,</w:t>
      </w:r>
      <w:r>
        <w:t xml:space="preserve"> </w:t>
      </w:r>
      <m:oMath>
        <m:r>
          <m:t>B</m:t>
        </m:r>
        <m:sSub>
          <m:e>
            <m:r>
              <m:t>F</m:t>
            </m:r>
          </m:e>
          <m:sub>
            <m:r>
              <m:t>10</m:t>
            </m:r>
          </m:sub>
        </m:sSub>
      </m:oMath>
      <w:r>
        <w:t xml:space="preserve"> </w:t>
      </w:r>
      <w:r>
        <w:t xml:space="preserve">= 1.572)</w:t>
      </w:r>
    </w:p>
    <w:bookmarkEnd w:id="31"/>
    <w:bookmarkStart w:id="32" w:name="figure-3-1"/>
    <w:p>
      <w:pPr>
        <w:pStyle w:val="Heading2"/>
      </w:pPr>
      <w:r>
        <w:t xml:space="preserve">Figure 3</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note</dc:title>
  <dc:creator>Yuta Suzuki</dc:creator>
  <cp:keywords/>
  <dcterms:created xsi:type="dcterms:W3CDTF">2021-12-08T15:48:50Z</dcterms:created>
  <dcterms:modified xsi:type="dcterms:W3CDTF">2021-12-08T15:48:50Z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 December, 2021</vt:lpwstr>
  </property>
  <property fmtid="{D5CDD505-2E9C-101B-9397-08002B2CF9AE}" pid="3" name="output">
    <vt:lpwstr>word_document</vt:lpwstr>
  </property>
  <property fmtid="{D5CDD505-2E9C-101B-9397-08002B2CF9AE}" pid="4" name="params">
    <vt:lpwstr/>
  </property>
</Properties>
</file>